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3E5CD" w14:textId="3ED78CF7" w:rsidR="00C7160A" w:rsidRDefault="00C7160A" w:rsidP="00A46E69">
      <w:pPr>
        <w:pStyle w:val="Corpotesto"/>
        <w:spacing w:before="195"/>
        <w:ind w:left="3957" w:right="534" w:hanging="3659"/>
        <w:jc w:val="both"/>
      </w:pPr>
      <w:r>
        <w:rPr>
          <w:noProof/>
          <w:lang w:bidi="ar-SA"/>
        </w:rPr>
        <w:drawing>
          <wp:inline distT="0" distB="0" distL="0" distR="0" wp14:anchorId="153626FD" wp14:editId="5982623E">
            <wp:extent cx="3020878" cy="714375"/>
            <wp:effectExtent l="0" t="0" r="0" b="0"/>
            <wp:docPr id="1073741825" name="officeArt object" descr="C:\Users\Andrea\Desktop\Logo_Piattaforme_tecnologiche\Kit_Logo_A\A-Logo_Univr_CPT_2016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C:\Users\Andrea\Desktop\Logo_Piattaforme_tecnologiche\Kit_Logo_A\A-Logo_Univr_CPT_2016-0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78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7D5603" w14:textId="77777777" w:rsidR="00C7160A" w:rsidRDefault="00C7160A" w:rsidP="00A46E69">
      <w:pPr>
        <w:pStyle w:val="Corpotesto"/>
        <w:spacing w:before="195"/>
        <w:ind w:left="3957" w:right="534" w:hanging="3659"/>
        <w:jc w:val="both"/>
      </w:pPr>
    </w:p>
    <w:p w14:paraId="66D93A62" w14:textId="77777777" w:rsidR="0047139E" w:rsidRPr="00C157EC" w:rsidRDefault="0047139E" w:rsidP="0047139E">
      <w:pPr>
        <w:pStyle w:val="Corpotesto"/>
        <w:spacing w:before="108" w:line="360" w:lineRule="auto"/>
        <w:ind w:right="244"/>
        <w:jc w:val="center"/>
        <w:rPr>
          <w:rFonts w:ascii="Arial" w:hAnsi="Arial" w:cs="Arial"/>
          <w:b/>
          <w:sz w:val="20"/>
          <w:szCs w:val="20"/>
        </w:rPr>
      </w:pPr>
      <w:r w:rsidRPr="00C157EC">
        <w:rPr>
          <w:rFonts w:ascii="Arial" w:hAnsi="Arial" w:cs="Arial"/>
          <w:b/>
          <w:w w:val="95"/>
          <w:sz w:val="20"/>
          <w:szCs w:val="20"/>
        </w:rPr>
        <w:t>RELAZIONE ESPLICATIVA PER FORMULAZIONE TARIFFARIO PER CENTRO PIATTAFORME</w:t>
      </w:r>
    </w:p>
    <w:p w14:paraId="36A1B943" w14:textId="77777777" w:rsidR="0047139E" w:rsidRPr="00C157EC" w:rsidRDefault="0047139E" w:rsidP="0047139E">
      <w:pPr>
        <w:pStyle w:val="Corpotesto"/>
        <w:spacing w:before="10" w:line="360" w:lineRule="auto"/>
        <w:ind w:left="885" w:right="483"/>
        <w:jc w:val="center"/>
        <w:rPr>
          <w:rFonts w:ascii="Arial" w:hAnsi="Arial" w:cs="Arial"/>
          <w:b/>
          <w:sz w:val="20"/>
          <w:szCs w:val="20"/>
        </w:rPr>
      </w:pPr>
      <w:r w:rsidRPr="00C157EC">
        <w:rPr>
          <w:rFonts w:ascii="Arial" w:hAnsi="Arial" w:cs="Arial"/>
          <w:b/>
          <w:sz w:val="20"/>
          <w:szCs w:val="20"/>
        </w:rPr>
        <w:t>TECNOLOGICHE– anno 2020</w:t>
      </w:r>
    </w:p>
    <w:p w14:paraId="3EDF1170" w14:textId="77777777" w:rsidR="001D102A" w:rsidRDefault="001D102A" w:rsidP="00A46E69">
      <w:pPr>
        <w:pStyle w:val="Corpotesto"/>
        <w:spacing w:before="1"/>
        <w:jc w:val="both"/>
      </w:pPr>
    </w:p>
    <w:p w14:paraId="0EACDC45" w14:textId="565E9ACF" w:rsidR="00A46E69" w:rsidRDefault="00A46E69" w:rsidP="000624F3">
      <w:pPr>
        <w:pStyle w:val="Corpotesto"/>
        <w:ind w:left="130" w:right="533"/>
        <w:jc w:val="both"/>
      </w:pPr>
      <w:r w:rsidRPr="00A46E69">
        <w:t xml:space="preserve">Il CPT ha come scopo quello di creare e mantenere infrastrutture tecnologicamente all’avanguardia, ad accesso ampio e trasversale da parte dei vari gruppi di ricerca, </w:t>
      </w:r>
      <w:r>
        <w:t xml:space="preserve">garantendo l’accesso alle strumentazioni delle diverse piattaforme sotto la diretta supervisione del personale tecnico incardinato </w:t>
      </w:r>
      <w:r w:rsidRPr="00A46E69">
        <w:t>pres</w:t>
      </w:r>
      <w:r w:rsidR="00B25F0A">
        <w:t>s</w:t>
      </w:r>
      <w:r w:rsidRPr="00A46E69">
        <w:t>o il Centro, attraverso</w:t>
      </w:r>
      <w:r w:rsidRPr="00A46E69">
        <w:rPr>
          <w:bCs/>
        </w:rPr>
        <w:t xml:space="preserve"> l’erogazione</w:t>
      </w:r>
      <w:r w:rsidRPr="00A46E69">
        <w:t xml:space="preserve"> di prestazioni anche complesse dove </w:t>
      </w:r>
      <w:r w:rsidR="00D805C0">
        <w:t xml:space="preserve">in alcuni casi </w:t>
      </w:r>
      <w:r w:rsidRPr="00A46E69">
        <w:t>il campione viene prep</w:t>
      </w:r>
      <w:r>
        <w:t>arato, processato ed analizzato.</w:t>
      </w:r>
      <w:r w:rsidR="000624F3">
        <w:t xml:space="preserve"> </w:t>
      </w:r>
    </w:p>
    <w:p w14:paraId="188AE9BB" w14:textId="053088DA" w:rsidR="00A46E69" w:rsidRDefault="00A46E69">
      <w:pPr>
        <w:pStyle w:val="Corpotesto"/>
        <w:ind w:left="132" w:right="534"/>
        <w:jc w:val="both"/>
      </w:pPr>
      <w:r w:rsidRPr="00A46E69">
        <w:t>Il regolamento del CPT prevede l’applicazione di un tariffario per l’utilizzo delle str</w:t>
      </w:r>
      <w:r>
        <w:t xml:space="preserve">umentazioni afferenti al centro. </w:t>
      </w:r>
      <w:r w:rsidRPr="00A46E69">
        <w:t xml:space="preserve">Le tariffe sono intese per l’utilizzo autonomo della piattaforma, </w:t>
      </w:r>
      <w:r w:rsidRPr="00D4149F">
        <w:t xml:space="preserve">salvo diverse indicazioni da parte del tecnico referente. </w:t>
      </w:r>
      <w:r w:rsidR="00593A1B" w:rsidRPr="00D4149F">
        <w:t>Ci sono casi</w:t>
      </w:r>
      <w:r w:rsidR="00B23538">
        <w:t>,</w:t>
      </w:r>
      <w:r w:rsidR="00593A1B" w:rsidRPr="00D4149F">
        <w:t xml:space="preserve"> infatti, in cui la strumentazione è talmente complessa che richiede anni di esperienza per il pieno raggiungimento dell’autonomia ed in questo caso il tecnico referente della piattaforma è il principale utilizzatore della strumentazione. </w:t>
      </w:r>
      <w:r w:rsidRPr="00D4149F">
        <w:t>Il tariffario viene revisionato annualmente</w:t>
      </w:r>
      <w:r w:rsidR="00B25F0A" w:rsidRPr="00D4149F">
        <w:t xml:space="preserve">, in seguito alle modifiche che si rendono necessarie </w:t>
      </w:r>
      <w:r w:rsidR="005E3792" w:rsidRPr="005E3792">
        <w:t>per i cambiamenti economici a cui sono soggetti i beni consumabili, l’attivazione di nuovi contrati di manutenzione e/o l’installazione di nuovi strumenti e prevede tre tariffe differenziate:</w:t>
      </w:r>
    </w:p>
    <w:p w14:paraId="24357A49" w14:textId="77777777" w:rsidR="00A46E69" w:rsidRDefault="00A46E69" w:rsidP="00E342A2">
      <w:pPr>
        <w:pStyle w:val="Corpotesto"/>
        <w:ind w:left="132" w:right="534"/>
        <w:jc w:val="both"/>
      </w:pPr>
    </w:p>
    <w:p w14:paraId="226AF2A3" w14:textId="7885E51F" w:rsidR="006114D2" w:rsidRDefault="00A46E69" w:rsidP="000624F3">
      <w:pPr>
        <w:pStyle w:val="Corpotesto"/>
        <w:ind w:left="132" w:right="534"/>
        <w:jc w:val="both"/>
        <w:rPr>
          <w:color w:val="000000" w:themeColor="text1"/>
        </w:rPr>
      </w:pPr>
      <w:r w:rsidRPr="00C734C3">
        <w:rPr>
          <w:i/>
          <w:color w:val="000000" w:themeColor="text1"/>
        </w:rPr>
        <w:t>tariffa per interni</w:t>
      </w:r>
      <w:r w:rsidR="00035CE5" w:rsidRPr="00C734C3">
        <w:rPr>
          <w:i/>
          <w:color w:val="000000" w:themeColor="text1"/>
        </w:rPr>
        <w:t xml:space="preserve"> </w:t>
      </w:r>
      <w:r w:rsidR="00035CE5" w:rsidRPr="00C734C3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="00035CE5" w:rsidRPr="00C734C3">
        <w:rPr>
          <w:color w:val="000000" w:themeColor="text1"/>
        </w:rPr>
        <w:t>)</w:t>
      </w:r>
      <w:r w:rsidR="00B61E90" w:rsidRPr="00C734C3">
        <w:rPr>
          <w:color w:val="000000" w:themeColor="text1"/>
        </w:rPr>
        <w:t>: per utenti interni si intendono i docenti e ricercatori dell’Università di Verona che utilizzano i servizi erogati dalle Piattaforme a scopi scientifici</w:t>
      </w:r>
      <w:r w:rsidR="004D4714" w:rsidRPr="00C734C3">
        <w:rPr>
          <w:color w:val="000000" w:themeColor="text1"/>
        </w:rPr>
        <w:t xml:space="preserve"> per</w:t>
      </w:r>
      <w:r w:rsidR="00B61E90" w:rsidRPr="00C734C3">
        <w:rPr>
          <w:color w:val="000000" w:themeColor="text1"/>
        </w:rPr>
        <w:t xml:space="preserve"> </w:t>
      </w:r>
      <w:r w:rsidR="00A248F3">
        <w:rPr>
          <w:color w:val="000000" w:themeColor="text1"/>
        </w:rPr>
        <w:t xml:space="preserve">attività di </w:t>
      </w:r>
      <w:r w:rsidR="00B61E90" w:rsidRPr="00C734C3">
        <w:rPr>
          <w:color w:val="000000" w:themeColor="text1"/>
        </w:rPr>
        <w:t>ricerca e/o</w:t>
      </w:r>
      <w:r w:rsidR="00B23538">
        <w:rPr>
          <w:color w:val="000000" w:themeColor="text1"/>
        </w:rPr>
        <w:t>,</w:t>
      </w:r>
      <w:r w:rsidR="00B61E90" w:rsidRPr="00C734C3">
        <w:rPr>
          <w:color w:val="000000" w:themeColor="text1"/>
        </w:rPr>
        <w:t xml:space="preserve"> ove previsto,</w:t>
      </w:r>
      <w:r w:rsidR="004D4714" w:rsidRPr="00C734C3">
        <w:rPr>
          <w:color w:val="000000" w:themeColor="text1"/>
        </w:rPr>
        <w:t xml:space="preserve"> per </w:t>
      </w:r>
      <w:r w:rsidR="00A248F3">
        <w:rPr>
          <w:color w:val="000000" w:themeColor="text1"/>
        </w:rPr>
        <w:t xml:space="preserve">attività </w:t>
      </w:r>
      <w:r w:rsidR="00B61E90" w:rsidRPr="00C734C3">
        <w:rPr>
          <w:color w:val="000000" w:themeColor="text1"/>
        </w:rPr>
        <w:t xml:space="preserve">didattica e </w:t>
      </w:r>
      <w:r w:rsidR="006114D2" w:rsidRPr="006114D2">
        <w:rPr>
          <w:color w:val="000000" w:themeColor="text1"/>
        </w:rPr>
        <w:t xml:space="preserve"> non a scopo di lucro</w:t>
      </w:r>
      <w:r w:rsidR="006114D2">
        <w:rPr>
          <w:color w:val="000000" w:themeColor="text1"/>
        </w:rPr>
        <w:t>. I</w:t>
      </w:r>
      <w:r w:rsidR="006114D2" w:rsidRPr="006114D2">
        <w:rPr>
          <w:color w:val="000000" w:themeColor="text1"/>
        </w:rPr>
        <w:t xml:space="preserve"> servizi non </w:t>
      </w:r>
      <w:r w:rsidR="006114D2">
        <w:rPr>
          <w:color w:val="000000" w:themeColor="text1"/>
        </w:rPr>
        <w:t>possono essere utilizzati dagli Utenti Interni</w:t>
      </w:r>
      <w:r w:rsidR="006114D2" w:rsidRPr="006114D2">
        <w:rPr>
          <w:color w:val="000000" w:themeColor="text1"/>
        </w:rPr>
        <w:t xml:space="preserve"> nell'ambito di contratti e convezioni ("conto terzi") finalizzati all'ottenimento di un compenso economico da</w:t>
      </w:r>
      <w:r w:rsidR="006114D2">
        <w:rPr>
          <w:color w:val="000000" w:themeColor="text1"/>
        </w:rPr>
        <w:t xml:space="preserve"> parte di enti pubblici o priva</w:t>
      </w:r>
      <w:r w:rsidR="006114D2" w:rsidRPr="006114D2">
        <w:rPr>
          <w:color w:val="000000" w:themeColor="text1"/>
        </w:rPr>
        <w:t>ti esterni all'Ateneo. Ove esistessero le condizioni p</w:t>
      </w:r>
      <w:r w:rsidR="006114D2">
        <w:rPr>
          <w:color w:val="000000" w:themeColor="text1"/>
        </w:rPr>
        <w:t>er stabilire un rapporto conven</w:t>
      </w:r>
      <w:r w:rsidR="006114D2" w:rsidRPr="006114D2">
        <w:rPr>
          <w:color w:val="000000" w:themeColor="text1"/>
        </w:rPr>
        <w:t xml:space="preserve">zionale di tale natura con enti pubblici e privati esterni all'Ateneo, il rapporto dovrà essere stabilito </w:t>
      </w:r>
      <w:r w:rsidR="00B23538">
        <w:rPr>
          <w:color w:val="000000" w:themeColor="text1"/>
        </w:rPr>
        <w:t>coinvolgendo il</w:t>
      </w:r>
      <w:r w:rsidR="006114D2" w:rsidRPr="006114D2">
        <w:rPr>
          <w:color w:val="000000" w:themeColor="text1"/>
        </w:rPr>
        <w:t xml:space="preserve"> CPT.</w:t>
      </w:r>
    </w:p>
    <w:p w14:paraId="618B80F0" w14:textId="2EA59471" w:rsidR="00B61E90" w:rsidRPr="00C734C3" w:rsidRDefault="00B61E90" w:rsidP="006114D2">
      <w:pPr>
        <w:pStyle w:val="Corpotesto"/>
        <w:ind w:right="534"/>
        <w:jc w:val="both"/>
        <w:rPr>
          <w:i/>
          <w:color w:val="000000" w:themeColor="text1"/>
        </w:rPr>
      </w:pPr>
    </w:p>
    <w:p w14:paraId="661811A4" w14:textId="061E5AE1" w:rsidR="00A46E69" w:rsidRPr="00C734C3" w:rsidRDefault="00A46E69" w:rsidP="00B61E90">
      <w:pPr>
        <w:pStyle w:val="Corpotesto"/>
        <w:ind w:left="132" w:right="534"/>
        <w:jc w:val="both"/>
        <w:rPr>
          <w:color w:val="000000" w:themeColor="text1"/>
        </w:rPr>
      </w:pPr>
      <w:r w:rsidRPr="00C734C3">
        <w:rPr>
          <w:i/>
          <w:color w:val="000000" w:themeColor="text1"/>
        </w:rPr>
        <w:t>tariffa per esterni</w:t>
      </w:r>
      <w:r w:rsidR="000624F3" w:rsidRPr="00C734C3">
        <w:rPr>
          <w:i/>
          <w:color w:val="000000" w:themeColor="text1"/>
        </w:rPr>
        <w:t xml:space="preserve"> no profit</w:t>
      </w:r>
      <w:r w:rsidR="00035CE5" w:rsidRPr="00C734C3">
        <w:rPr>
          <w:i/>
          <w:color w:val="000000" w:themeColor="text1"/>
        </w:rPr>
        <w:t xml:space="preserve"> </w:t>
      </w:r>
      <w:r w:rsidR="00035CE5" w:rsidRPr="00C734C3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NP</m:t>
            </m:r>
          </m:sub>
        </m:sSub>
      </m:oMath>
      <w:r w:rsidR="00035CE5" w:rsidRPr="00C734C3">
        <w:rPr>
          <w:color w:val="000000" w:themeColor="text1"/>
        </w:rPr>
        <w:t>)</w:t>
      </w:r>
      <w:r w:rsidR="00B61E90" w:rsidRPr="00C734C3">
        <w:rPr>
          <w:color w:val="000000" w:themeColor="text1"/>
        </w:rPr>
        <w:t xml:space="preserve">:  per utenti esterni  no profit si intendono le Università al di fuori dell’Ateneo </w:t>
      </w:r>
      <w:r w:rsidR="00C734C3">
        <w:rPr>
          <w:color w:val="000000" w:themeColor="text1"/>
        </w:rPr>
        <w:t xml:space="preserve">di Verona, </w:t>
      </w:r>
      <w:r w:rsidR="00B61E90" w:rsidRPr="00C734C3">
        <w:rPr>
          <w:color w:val="000000" w:themeColor="text1"/>
        </w:rPr>
        <w:t>gli Istituti e gli Enti di Ricerca che richiedano l’accesso ai servizi erogati dalle Piattaforme a scopi scientifici</w:t>
      </w:r>
      <w:r w:rsidR="004D4714" w:rsidRPr="00C734C3">
        <w:rPr>
          <w:color w:val="000000" w:themeColor="text1"/>
        </w:rPr>
        <w:t xml:space="preserve"> per</w:t>
      </w:r>
      <w:r w:rsidR="00B61E90" w:rsidRPr="00C734C3">
        <w:rPr>
          <w:color w:val="000000" w:themeColor="text1"/>
        </w:rPr>
        <w:t xml:space="preserve"> </w:t>
      </w:r>
      <w:r w:rsidR="00A248F3">
        <w:rPr>
          <w:color w:val="000000" w:themeColor="text1"/>
        </w:rPr>
        <w:t xml:space="preserve">attività di </w:t>
      </w:r>
      <w:r w:rsidR="00B61E90" w:rsidRPr="00C734C3">
        <w:rPr>
          <w:color w:val="000000" w:themeColor="text1"/>
        </w:rPr>
        <w:t>ricerca e/o</w:t>
      </w:r>
      <w:r w:rsidR="00B23538">
        <w:rPr>
          <w:color w:val="000000" w:themeColor="text1"/>
        </w:rPr>
        <w:t>,</w:t>
      </w:r>
      <w:r w:rsidR="00B61E90" w:rsidRPr="00C734C3">
        <w:rPr>
          <w:color w:val="000000" w:themeColor="text1"/>
        </w:rPr>
        <w:t xml:space="preserve"> ove previsto, </w:t>
      </w:r>
      <w:r w:rsidR="004D4714" w:rsidRPr="00C734C3">
        <w:rPr>
          <w:color w:val="000000" w:themeColor="text1"/>
        </w:rPr>
        <w:t>per</w:t>
      </w:r>
      <w:r w:rsidR="00B61E90" w:rsidRPr="00C734C3">
        <w:rPr>
          <w:color w:val="000000" w:themeColor="text1"/>
        </w:rPr>
        <w:t xml:space="preserve"> </w:t>
      </w:r>
      <w:r w:rsidR="00A248F3">
        <w:rPr>
          <w:color w:val="000000" w:themeColor="text1"/>
        </w:rPr>
        <w:t xml:space="preserve">attività </w:t>
      </w:r>
      <w:r w:rsidR="00B61E90" w:rsidRPr="00C734C3">
        <w:rPr>
          <w:color w:val="000000" w:themeColor="text1"/>
        </w:rPr>
        <w:t>didattica</w:t>
      </w:r>
      <w:r w:rsidR="004D4714" w:rsidRPr="00C734C3">
        <w:rPr>
          <w:color w:val="000000" w:themeColor="text1"/>
        </w:rPr>
        <w:t>.</w:t>
      </w:r>
    </w:p>
    <w:p w14:paraId="51666B4A" w14:textId="77777777" w:rsidR="004D4714" w:rsidRPr="00C734C3" w:rsidRDefault="004D4714" w:rsidP="00B61E90">
      <w:pPr>
        <w:pStyle w:val="Corpotesto"/>
        <w:ind w:left="132" w:right="534"/>
        <w:jc w:val="both"/>
        <w:rPr>
          <w:color w:val="000000" w:themeColor="text1"/>
        </w:rPr>
      </w:pPr>
    </w:p>
    <w:p w14:paraId="3B2784AC" w14:textId="62654EB5" w:rsidR="000624F3" w:rsidRPr="00C734C3" w:rsidRDefault="000624F3" w:rsidP="004D4714">
      <w:pPr>
        <w:pStyle w:val="Corpotesto"/>
        <w:ind w:left="132" w:right="534"/>
        <w:jc w:val="both"/>
        <w:rPr>
          <w:color w:val="000000" w:themeColor="text1"/>
        </w:rPr>
      </w:pPr>
      <w:r w:rsidRPr="00C734C3">
        <w:rPr>
          <w:i/>
          <w:color w:val="000000" w:themeColor="text1"/>
        </w:rPr>
        <w:t>tariffa per esterni profit</w:t>
      </w:r>
      <w:r w:rsidR="00035CE5" w:rsidRPr="00C734C3">
        <w:rPr>
          <w:i/>
          <w:color w:val="000000" w:themeColor="text1"/>
        </w:rPr>
        <w:t xml:space="preserve"> </w:t>
      </w:r>
      <w:r w:rsidR="00035CE5" w:rsidRPr="00C734C3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</m:t>
            </m:r>
          </m:sub>
        </m:sSub>
      </m:oMath>
      <w:r w:rsidR="00035CE5" w:rsidRPr="00C734C3">
        <w:rPr>
          <w:color w:val="000000" w:themeColor="text1"/>
        </w:rPr>
        <w:t>)</w:t>
      </w:r>
      <w:r w:rsidR="004D4714" w:rsidRPr="00C734C3">
        <w:rPr>
          <w:color w:val="000000" w:themeColor="text1"/>
        </w:rPr>
        <w:t>: per utenti esterni profit</w:t>
      </w:r>
      <w:r w:rsidR="003E4930" w:rsidRPr="00C734C3">
        <w:rPr>
          <w:color w:val="000000" w:themeColor="text1"/>
        </w:rPr>
        <w:t xml:space="preserve"> si intendono le aziende che richiedano l’accesso ai servizi</w:t>
      </w:r>
      <w:r w:rsidR="006114D2">
        <w:rPr>
          <w:color w:val="000000" w:themeColor="text1"/>
        </w:rPr>
        <w:t xml:space="preserve"> erogati dalle Piattaforme.</w:t>
      </w:r>
    </w:p>
    <w:p w14:paraId="52460CED" w14:textId="646AD1B0" w:rsidR="00230AC2" w:rsidRDefault="00230AC2" w:rsidP="000624F3">
      <w:pPr>
        <w:pStyle w:val="Corpotesto"/>
        <w:ind w:left="132" w:right="534"/>
        <w:jc w:val="both"/>
        <w:rPr>
          <w:i/>
        </w:rPr>
      </w:pPr>
    </w:p>
    <w:p w14:paraId="7027D9A6" w14:textId="77777777" w:rsidR="00230AC2" w:rsidRDefault="00230AC2" w:rsidP="00E342A2">
      <w:pPr>
        <w:pStyle w:val="Corpotesto"/>
        <w:spacing w:before="147"/>
        <w:ind w:left="142"/>
      </w:pPr>
      <w:r>
        <w:t>ENTRATE</w:t>
      </w:r>
    </w:p>
    <w:p w14:paraId="43D5ADB7" w14:textId="77777777" w:rsidR="00230AC2" w:rsidRDefault="00230AC2" w:rsidP="00230AC2">
      <w:pPr>
        <w:pStyle w:val="Corpotesto"/>
        <w:ind w:left="132"/>
        <w:jc w:val="both"/>
      </w:pPr>
      <w:r>
        <w:t>Il Centro può contare principalmente su tre tipologie di entrata:</w:t>
      </w:r>
    </w:p>
    <w:p w14:paraId="77761B6C" w14:textId="58CD057C" w:rsidR="00230AC2" w:rsidRDefault="00230AC2" w:rsidP="00E342A2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" w:line="281" w:lineRule="exact"/>
        <w:ind w:right="560"/>
        <w:rPr>
          <w:sz w:val="24"/>
        </w:rPr>
      </w:pPr>
      <w:r>
        <w:rPr>
          <w:sz w:val="24"/>
        </w:rPr>
        <w:t>Euro 500.000 provenienti dal contributo di Funzionamento</w:t>
      </w:r>
      <w:r>
        <w:rPr>
          <w:spacing w:val="-7"/>
          <w:sz w:val="24"/>
        </w:rPr>
        <w:t xml:space="preserve"> </w:t>
      </w:r>
      <w:r w:rsidR="00B23538">
        <w:rPr>
          <w:spacing w:val="-7"/>
          <w:sz w:val="24"/>
        </w:rPr>
        <w:t xml:space="preserve">(FFO) </w:t>
      </w:r>
      <w:r w:rsidR="00593A1B">
        <w:rPr>
          <w:sz w:val="24"/>
        </w:rPr>
        <w:t>dell’Ateneo; è un finanziamento con cadenza annale e serve a coprire le spes</w:t>
      </w:r>
      <w:r w:rsidR="00B23538">
        <w:rPr>
          <w:sz w:val="24"/>
        </w:rPr>
        <w:t>e</w:t>
      </w:r>
      <w:r w:rsidR="00593A1B">
        <w:rPr>
          <w:sz w:val="24"/>
        </w:rPr>
        <w:t xml:space="preserve"> per la manutenzione e per la riparazione degli strumenti, per l’acquisto di beni </w:t>
      </w:r>
      <w:r w:rsidR="00B25F0A">
        <w:rPr>
          <w:sz w:val="24"/>
        </w:rPr>
        <w:t>consumabili</w:t>
      </w:r>
      <w:r w:rsidR="00593A1B">
        <w:rPr>
          <w:sz w:val="24"/>
        </w:rPr>
        <w:t xml:space="preserve"> e per la formazione dei tecnici afferenti al Centro</w:t>
      </w:r>
      <w:r w:rsidR="004E2A69">
        <w:rPr>
          <w:sz w:val="24"/>
        </w:rPr>
        <w:t>;</w:t>
      </w:r>
    </w:p>
    <w:p w14:paraId="0906E531" w14:textId="54D48654" w:rsidR="00230AC2" w:rsidRDefault="005E3792" w:rsidP="005E3792">
      <w:pPr>
        <w:pStyle w:val="Paragrafoelenco"/>
        <w:numPr>
          <w:ilvl w:val="0"/>
          <w:numId w:val="1"/>
        </w:numPr>
        <w:tabs>
          <w:tab w:val="left" w:pos="854"/>
        </w:tabs>
        <w:rPr>
          <w:sz w:val="24"/>
        </w:rPr>
      </w:pPr>
      <w:r w:rsidRPr="005E3792">
        <w:rPr>
          <w:sz w:val="24"/>
        </w:rPr>
        <w:t>un finanziamento erogato una tantum da parte dell’Ateneo</w:t>
      </w:r>
      <w:r w:rsidR="00230AC2" w:rsidRPr="005E3792">
        <w:rPr>
          <w:sz w:val="24"/>
        </w:rPr>
        <w:t xml:space="preserve"> </w:t>
      </w:r>
      <w:r w:rsidR="00230AC2">
        <w:rPr>
          <w:sz w:val="24"/>
        </w:rPr>
        <w:t>per l’acquisizione delle strumentazioni che vengono proposte dagli utilizzatori delle Piattaforme del Centro, deliberati dal Consiglio Direttivo e successivamente dal Cd</w:t>
      </w:r>
      <w:r w:rsidR="00A248F3">
        <w:rPr>
          <w:sz w:val="24"/>
        </w:rPr>
        <w:t>A</w:t>
      </w:r>
      <w:r w:rsidR="004E2A69">
        <w:rPr>
          <w:sz w:val="24"/>
        </w:rPr>
        <w:t>;</w:t>
      </w:r>
    </w:p>
    <w:p w14:paraId="68932C17" w14:textId="2A59690A" w:rsidR="00230AC2" w:rsidRDefault="005E3792" w:rsidP="00230AC2">
      <w:pPr>
        <w:pStyle w:val="Paragrafoelenco"/>
        <w:numPr>
          <w:ilvl w:val="0"/>
          <w:numId w:val="1"/>
        </w:numPr>
        <w:tabs>
          <w:tab w:val="left" w:pos="854"/>
        </w:tabs>
        <w:ind w:right="538"/>
        <w:rPr>
          <w:sz w:val="24"/>
        </w:rPr>
      </w:pPr>
      <w:r>
        <w:rPr>
          <w:sz w:val="24"/>
        </w:rPr>
        <w:t>u</w:t>
      </w:r>
      <w:r w:rsidR="00230AC2">
        <w:rPr>
          <w:sz w:val="24"/>
        </w:rPr>
        <w:t xml:space="preserve">na quota variabile proveniente dal contributo dei dipartimenti </w:t>
      </w:r>
      <w:r w:rsidR="006E7A58">
        <w:rPr>
          <w:sz w:val="24"/>
        </w:rPr>
        <w:t>e/o da enti, Università e aziende esterne che usufruiscono dei servizi erogati dal</w:t>
      </w:r>
      <w:r w:rsidR="00230AC2">
        <w:rPr>
          <w:sz w:val="24"/>
        </w:rPr>
        <w:t xml:space="preserve"> Centro secondo il tariffario in</w:t>
      </w:r>
      <w:r w:rsidR="00230AC2">
        <w:rPr>
          <w:spacing w:val="-1"/>
          <w:sz w:val="24"/>
        </w:rPr>
        <w:t xml:space="preserve"> </w:t>
      </w:r>
      <w:r w:rsidR="00230AC2">
        <w:rPr>
          <w:sz w:val="24"/>
        </w:rPr>
        <w:t>vigore.</w:t>
      </w:r>
    </w:p>
    <w:p w14:paraId="70FB34DC" w14:textId="77777777" w:rsidR="00230AC2" w:rsidRPr="00373793" w:rsidRDefault="00230AC2" w:rsidP="000624F3">
      <w:pPr>
        <w:pStyle w:val="Corpotesto"/>
        <w:ind w:left="132" w:right="534"/>
        <w:jc w:val="both"/>
        <w:rPr>
          <w:i/>
        </w:rPr>
      </w:pPr>
    </w:p>
    <w:p w14:paraId="4469A715" w14:textId="77777777" w:rsidR="001D102A" w:rsidRDefault="001D102A" w:rsidP="000624F3">
      <w:pPr>
        <w:pStyle w:val="Corpotesto"/>
        <w:spacing w:before="10"/>
        <w:jc w:val="both"/>
        <w:rPr>
          <w:sz w:val="23"/>
        </w:rPr>
      </w:pPr>
    </w:p>
    <w:p w14:paraId="243B96B0" w14:textId="1AAF5A04" w:rsidR="00373793" w:rsidRDefault="002C41B2" w:rsidP="000624F3">
      <w:pPr>
        <w:pStyle w:val="Corpotesto"/>
        <w:ind w:left="132"/>
        <w:jc w:val="both"/>
      </w:pPr>
      <w:r>
        <w:t>CONSUMI E SPESE</w:t>
      </w:r>
    </w:p>
    <w:p w14:paraId="1D10B169" w14:textId="77777777" w:rsidR="00373793" w:rsidRDefault="00373793" w:rsidP="000624F3">
      <w:pPr>
        <w:pStyle w:val="Corpotesto"/>
        <w:ind w:left="132"/>
        <w:jc w:val="both"/>
      </w:pPr>
    </w:p>
    <w:p w14:paraId="62BA9A69" w14:textId="4BBEEF2C" w:rsidR="00373793" w:rsidRDefault="00373793" w:rsidP="000624F3">
      <w:pPr>
        <w:pStyle w:val="Corpotesto"/>
        <w:ind w:left="130" w:right="170"/>
        <w:jc w:val="both"/>
      </w:pPr>
      <w:r>
        <w:t>Le spese che incidono particolarmente nel bilancio del Centro riguardano il costo degli interventi di manutenzione sulle attrezzature in dotazione dovute a periodiche revisioni di funzionamento o a impreviste rotture o disfunzioni con relativa sostituzione dei pezzi</w:t>
      </w:r>
      <w:r>
        <w:rPr>
          <w:spacing w:val="-2"/>
        </w:rPr>
        <w:t xml:space="preserve"> </w:t>
      </w:r>
      <w:r>
        <w:t xml:space="preserve">necessari. Inoltre </w:t>
      </w:r>
      <w:r w:rsidR="000624F3">
        <w:t>le spese che incidono nel bilancio del Centro sono rappresentate da materiale consumabile necessario per svolgere le attività di preparazione del campione, ove previsto</w:t>
      </w:r>
      <w:r w:rsidR="00B23538">
        <w:t>,</w:t>
      </w:r>
      <w:r w:rsidR="000624F3">
        <w:t xml:space="preserve"> o per la normale routine delle apparecchiature di cui dispone il Centro. Infine, </w:t>
      </w:r>
      <w:r>
        <w:t>come previsto</w:t>
      </w:r>
      <w:r w:rsidR="00B23538">
        <w:t>,</w:t>
      </w:r>
      <w:r>
        <w:t xml:space="preserve"> il CPT deve investire nella formazione del proprio personale per cui ha istituito una voce di spesa dedicata</w:t>
      </w:r>
      <w:r w:rsidR="000624F3">
        <w:t xml:space="preserve"> e nella promozione delle attività del Centro stesso, attraverso seminari e meeting che possano coinvolgere ditte esterne e docenti al fine di sviluppare conoscenza sul ruolo delle tecnologie avanzate </w:t>
      </w:r>
      <w:r w:rsidR="00A248F3">
        <w:t>già disponibili presso il Centro o di possibile acquisizione</w:t>
      </w:r>
      <w:r w:rsidR="000624F3">
        <w:t xml:space="preserve">. </w:t>
      </w:r>
    </w:p>
    <w:p w14:paraId="2BC2A941" w14:textId="77777777" w:rsidR="00373793" w:rsidRDefault="00373793" w:rsidP="00373793">
      <w:pPr>
        <w:pStyle w:val="Corpotesto"/>
        <w:spacing w:before="11"/>
        <w:rPr>
          <w:sz w:val="23"/>
        </w:rPr>
      </w:pPr>
    </w:p>
    <w:p w14:paraId="65E3E6CC" w14:textId="035624EE" w:rsidR="00373793" w:rsidRPr="00F40B60" w:rsidRDefault="00FB491E" w:rsidP="00FB491E">
      <w:pPr>
        <w:pStyle w:val="Corpotesto"/>
        <w:spacing w:line="281" w:lineRule="exact"/>
        <w:jc w:val="both"/>
      </w:pPr>
      <w:r>
        <w:t>TARIFFA</w:t>
      </w:r>
      <w:r w:rsidR="00062E1B">
        <w:t>RIO 2019 PER INTERNI:</w:t>
      </w:r>
      <w:r>
        <w:t xml:space="preserve"> DETERMINZIONE </w:t>
      </w:r>
      <w:r w:rsidR="00373793">
        <w:t>COSTO UNITARIO</w:t>
      </w:r>
    </w:p>
    <w:p w14:paraId="731A052F" w14:textId="77777777" w:rsidR="001665C7" w:rsidRDefault="001665C7">
      <w:pPr>
        <w:pStyle w:val="Corpotesto"/>
        <w:spacing w:before="10"/>
        <w:rPr>
          <w:sz w:val="23"/>
        </w:rPr>
      </w:pPr>
    </w:p>
    <w:p w14:paraId="2A2F8312" w14:textId="25BDAC2F" w:rsidR="004D46B1" w:rsidRDefault="001665C7" w:rsidP="001665C7">
      <w:pPr>
        <w:pStyle w:val="Corpotesto"/>
        <w:spacing w:before="10"/>
        <w:jc w:val="both"/>
      </w:pPr>
      <w:r w:rsidRPr="00587370">
        <w:t xml:space="preserve">Il Consiglio Direttivo </w:t>
      </w:r>
      <w:r w:rsidR="00572506">
        <w:t xml:space="preserve">nel </w:t>
      </w:r>
      <w:r w:rsidRPr="00587370">
        <w:t>20</w:t>
      </w:r>
      <w:r w:rsidR="00062E1B">
        <w:t>19</w:t>
      </w:r>
      <w:r w:rsidR="005E3792">
        <w:t xml:space="preserve"> </w:t>
      </w:r>
      <w:r w:rsidRPr="00587370">
        <w:t xml:space="preserve">ha provveduto a ridefinire </w:t>
      </w:r>
      <w:r w:rsidR="00F40B60" w:rsidRPr="00587370">
        <w:t>i costi unitari</w:t>
      </w:r>
      <w:r w:rsidRPr="00587370">
        <w:t xml:space="preserve"> </w:t>
      </w:r>
      <w:r w:rsidR="00F40B60" w:rsidRPr="00587370">
        <w:t xml:space="preserve">che sono alla base delle </w:t>
      </w:r>
      <w:r w:rsidR="00F40B60" w:rsidRPr="00587370">
        <w:rPr>
          <w:b/>
        </w:rPr>
        <w:t xml:space="preserve">tariffe </w:t>
      </w:r>
      <w:r w:rsidRPr="00587370">
        <w:rPr>
          <w:b/>
        </w:rPr>
        <w:t>per gli utenti interni</w:t>
      </w:r>
      <w:r w:rsidR="00E342A2" w:rsidRPr="00E342A2">
        <w:t>.</w:t>
      </w:r>
      <w:r w:rsidR="00E342A2">
        <w:t xml:space="preserve"> </w:t>
      </w:r>
      <w:r w:rsidR="00F40B60" w:rsidRPr="00587370">
        <w:t xml:space="preserve">I </w:t>
      </w:r>
      <w:r w:rsidR="00F40B60" w:rsidRPr="00E342A2">
        <w:t>costi unitari</w:t>
      </w:r>
      <w:r w:rsidR="00A264E0" w:rsidRPr="00E342A2">
        <w:t>, calcolati come costo orario di utilizzo dello strumento,</w:t>
      </w:r>
      <w:r w:rsidRPr="00E342A2">
        <w:t xml:space="preserve"> sono </w:t>
      </w:r>
      <w:r w:rsidR="00F40B60" w:rsidRPr="00E342A2">
        <w:t xml:space="preserve">stati </w:t>
      </w:r>
      <w:r w:rsidR="00FB491E" w:rsidRPr="00E342A2">
        <w:t>determinati</w:t>
      </w:r>
      <w:r w:rsidRPr="00E342A2">
        <w:t xml:space="preserve"> sulla base</w:t>
      </w:r>
      <w:r w:rsidR="004D46B1" w:rsidRPr="00E342A2">
        <w:t xml:space="preserve"> di:</w:t>
      </w:r>
    </w:p>
    <w:p w14:paraId="574EAF13" w14:textId="009F4C0A" w:rsidR="004D46B1" w:rsidRDefault="004D46B1" w:rsidP="001665C7">
      <w:pPr>
        <w:pStyle w:val="Corpotesto"/>
        <w:spacing w:before="10"/>
        <w:jc w:val="both"/>
      </w:pPr>
    </w:p>
    <w:p w14:paraId="135B1F1A" w14:textId="06EEBE0E" w:rsidR="004D46B1" w:rsidRPr="00D07B87" w:rsidRDefault="00F40B60" w:rsidP="004D46B1">
      <w:pPr>
        <w:pStyle w:val="Corpotesto"/>
        <w:numPr>
          <w:ilvl w:val="0"/>
          <w:numId w:val="1"/>
        </w:numPr>
        <w:spacing w:before="10"/>
        <w:jc w:val="both"/>
        <w:rPr>
          <w:color w:val="000000" w:themeColor="text1"/>
        </w:rPr>
      </w:pPr>
      <w:r w:rsidRPr="00D07B87">
        <w:rPr>
          <w:color w:val="000000" w:themeColor="text1"/>
        </w:rPr>
        <w:t>spese sostenute dal centro per il materiale consumabile necessario al</w:t>
      </w:r>
      <w:r w:rsidR="003A5AC1" w:rsidRPr="00D07B87">
        <w:rPr>
          <w:color w:val="000000" w:themeColor="text1"/>
        </w:rPr>
        <w:t xml:space="preserve"> mantenimento corretto della strumentazione ed allo</w:t>
      </w:r>
      <w:r w:rsidRPr="00D07B87">
        <w:rPr>
          <w:color w:val="000000" w:themeColor="text1"/>
        </w:rPr>
        <w:t xml:space="preserve"> svolgimento delle attività</w:t>
      </w:r>
      <w:r w:rsidR="003A5AC1" w:rsidRPr="00D07B87">
        <w:rPr>
          <w:color w:val="000000" w:themeColor="text1"/>
        </w:rPr>
        <w:t xml:space="preserve"> di misura</w:t>
      </w:r>
      <w:r w:rsidRPr="00D07B87">
        <w:rPr>
          <w:color w:val="000000" w:themeColor="text1"/>
        </w:rPr>
        <w:t xml:space="preserve"> </w:t>
      </w:r>
      <w:r w:rsidR="00DC51E5" w:rsidRPr="00D07B87">
        <w:rPr>
          <w:color w:val="000000" w:themeColor="text1"/>
        </w:rPr>
        <w:t>calcolato per ora di funzionamento</w:t>
      </w:r>
      <w:r w:rsidR="00A264E0" w:rsidRPr="00D07B8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(S)</m:t>
        </m:r>
      </m:oMath>
      <w:r w:rsidR="000B59E6" w:rsidRPr="00D07B87">
        <w:rPr>
          <w:color w:val="000000" w:themeColor="text1"/>
        </w:rPr>
        <w:t xml:space="preserve">, </w:t>
      </w:r>
    </w:p>
    <w:p w14:paraId="71CB350E" w14:textId="75F596BD" w:rsidR="000B59E6" w:rsidRPr="00E342A2" w:rsidRDefault="004D46B1" w:rsidP="004D46B1">
      <w:pPr>
        <w:pStyle w:val="Corpotesto"/>
        <w:numPr>
          <w:ilvl w:val="0"/>
          <w:numId w:val="1"/>
        </w:numPr>
        <w:spacing w:before="10"/>
        <w:jc w:val="both"/>
      </w:pPr>
      <w:r w:rsidRPr="00E342A2">
        <w:t xml:space="preserve">costi di </w:t>
      </w:r>
      <w:r w:rsidR="000B59E6" w:rsidRPr="00E342A2">
        <w:t>manutenzione laddove</w:t>
      </w:r>
      <w:r w:rsidR="00F40B60" w:rsidRPr="00E342A2">
        <w:t xml:space="preserve"> fosse scelto da parte degli utilizzatori</w:t>
      </w:r>
      <w:r w:rsidR="00493F4A" w:rsidRPr="00E342A2">
        <w:t xml:space="preserve"> o da parte del personale tecnico dedicato</w:t>
      </w:r>
      <w:r w:rsidR="00F40B60" w:rsidRPr="00E342A2">
        <w:t xml:space="preserve"> di attivare il contratto</w:t>
      </w:r>
      <w:r w:rsidR="00DA139F" w:rsidRPr="00E342A2">
        <w:t xml:space="preserve"> annuo</w:t>
      </w:r>
      <w:r w:rsidR="00F40B60" w:rsidRPr="00E342A2">
        <w:t xml:space="preserve"> di manutenzione ordinaria</w:t>
      </w:r>
      <w:r w:rsidR="006301AD" w:rsidRPr="00E342A2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)</m:t>
        </m:r>
      </m:oMath>
      <w:r w:rsidR="00F40B60" w:rsidRPr="00E342A2">
        <w:t xml:space="preserve"> tenendo conto delle</w:t>
      </w:r>
      <w:r w:rsidR="00022375">
        <w:t xml:space="preserve"> ore di funzionamento potenziale </w:t>
      </w:r>
      <w:r w:rsidR="001665C7" w:rsidRPr="00E342A2">
        <w:t>di ciascun strumen</w:t>
      </w:r>
      <w:r w:rsidR="001665C7" w:rsidRPr="00022375">
        <w:rPr>
          <w:color w:val="000000" w:themeColor="text1"/>
        </w:rPr>
        <w:t>to</w:t>
      </w:r>
      <w:r w:rsidR="00022375" w:rsidRPr="00022375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 w:rsidR="001665C7" w:rsidRPr="00022375">
        <w:rPr>
          <w:color w:val="000000" w:themeColor="text1"/>
        </w:rPr>
        <w:t>.</w:t>
      </w:r>
    </w:p>
    <w:p w14:paraId="425ECB1F" w14:textId="77777777" w:rsidR="000B59E6" w:rsidRPr="00587370" w:rsidRDefault="000B59E6" w:rsidP="001665C7">
      <w:pPr>
        <w:pStyle w:val="Corpotesto"/>
        <w:spacing w:before="10"/>
        <w:jc w:val="both"/>
      </w:pPr>
    </w:p>
    <w:p w14:paraId="53CFC756" w14:textId="4B932113" w:rsidR="00035CE5" w:rsidRDefault="00BB077C" w:rsidP="001665C7">
      <w:pPr>
        <w:pStyle w:val="Corpotesto"/>
        <w:spacing w:before="10"/>
        <w:jc w:val="both"/>
        <w:rPr>
          <w:sz w:val="2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</w:rPr>
                <m:t>I</m:t>
              </m:r>
            </m:sub>
          </m:sSub>
          <m:r>
            <w:rPr>
              <w:rFonts w:ascii="Cambria Math" w:hAnsi="Cambria Math"/>
              <w:sz w:val="23"/>
            </w:rPr>
            <m:t>=S+</m:t>
          </m:r>
          <m:f>
            <m:fPr>
              <m:ctrlPr>
                <w:rPr>
                  <w:rFonts w:ascii="Cambria Math" w:hAnsi="Cambria Math"/>
                  <w:i/>
                  <w:sz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3"/>
                    </w:rPr>
                    <m:t>P</m:t>
                  </m:r>
                </m:sub>
              </m:sSub>
            </m:den>
          </m:f>
        </m:oMath>
      </m:oMathPara>
    </w:p>
    <w:p w14:paraId="289149EE" w14:textId="77777777" w:rsidR="000B59E6" w:rsidRDefault="000B59E6" w:rsidP="001665C7">
      <w:pPr>
        <w:pStyle w:val="Corpotesto"/>
        <w:spacing w:before="10"/>
        <w:jc w:val="both"/>
        <w:rPr>
          <w:sz w:val="23"/>
        </w:rPr>
      </w:pPr>
    </w:p>
    <w:p w14:paraId="4845DD8D" w14:textId="08268255" w:rsidR="001665C7" w:rsidRPr="001665C7" w:rsidRDefault="00F40B60" w:rsidP="001665C7">
      <w:pPr>
        <w:pStyle w:val="Corpotesto"/>
        <w:spacing w:before="10"/>
        <w:jc w:val="both"/>
        <w:rPr>
          <w:sz w:val="23"/>
        </w:rPr>
      </w:pPr>
      <w:r>
        <w:rPr>
          <w:sz w:val="23"/>
        </w:rPr>
        <w:t>Il costo unitario</w:t>
      </w:r>
      <w:r w:rsidR="00062E1B">
        <w:rPr>
          <w:sz w:val="23"/>
        </w:rPr>
        <w:t xml:space="preserve"> è stato </w:t>
      </w:r>
      <w:r w:rsidR="001665C7" w:rsidRPr="001665C7">
        <w:rPr>
          <w:sz w:val="23"/>
        </w:rPr>
        <w:t xml:space="preserve">quindi </w:t>
      </w:r>
      <w:r w:rsidRPr="001665C7">
        <w:rPr>
          <w:sz w:val="23"/>
        </w:rPr>
        <w:t>calcolat</w:t>
      </w:r>
      <w:r>
        <w:rPr>
          <w:sz w:val="23"/>
        </w:rPr>
        <w:t xml:space="preserve">o </w:t>
      </w:r>
      <w:r w:rsidR="001665C7" w:rsidRPr="001665C7">
        <w:rPr>
          <w:sz w:val="23"/>
        </w:rPr>
        <w:t xml:space="preserve">sulla base dell'assegnazione ad una delle tre seguenti categorie: </w:t>
      </w:r>
    </w:p>
    <w:p w14:paraId="3B513F44" w14:textId="1897A392" w:rsidR="001665C7" w:rsidRPr="001665C7" w:rsidRDefault="001665C7" w:rsidP="001665C7">
      <w:pPr>
        <w:pStyle w:val="Corpotesto"/>
        <w:spacing w:before="10"/>
        <w:jc w:val="both"/>
        <w:rPr>
          <w:sz w:val="23"/>
        </w:rPr>
      </w:pPr>
      <w:r w:rsidRPr="001665C7">
        <w:rPr>
          <w:sz w:val="23"/>
        </w:rPr>
        <w:t>A) strumentazione che può operare anche in assenza di supervisione in modo continuo tutta la settimana: 7200 ore/anno</w:t>
      </w:r>
      <w:r w:rsidR="00B23538">
        <w:rPr>
          <w:sz w:val="23"/>
        </w:rPr>
        <w:t>;</w:t>
      </w:r>
    </w:p>
    <w:p w14:paraId="36F4F3C3" w14:textId="7BF0EBE0" w:rsidR="001665C7" w:rsidRPr="001665C7" w:rsidRDefault="001665C7" w:rsidP="001665C7">
      <w:pPr>
        <w:pStyle w:val="Corpotesto"/>
        <w:spacing w:before="10"/>
        <w:jc w:val="both"/>
        <w:rPr>
          <w:sz w:val="23"/>
        </w:rPr>
      </w:pPr>
      <w:r w:rsidRPr="001665C7">
        <w:rPr>
          <w:sz w:val="23"/>
        </w:rPr>
        <w:t>B) strumentazione che può operare anche in assenza di supervisione in modo continuo, dal lunedì al venerdì: 6000 ore/anno</w:t>
      </w:r>
      <w:r w:rsidR="00B23538">
        <w:rPr>
          <w:sz w:val="23"/>
        </w:rPr>
        <w:t>;</w:t>
      </w:r>
    </w:p>
    <w:p w14:paraId="6E38546E" w14:textId="774B543A" w:rsidR="001665C7" w:rsidRDefault="001665C7" w:rsidP="001665C7">
      <w:pPr>
        <w:pStyle w:val="Corpotesto"/>
        <w:spacing w:before="10"/>
        <w:jc w:val="both"/>
        <w:rPr>
          <w:sz w:val="23"/>
        </w:rPr>
      </w:pPr>
      <w:r w:rsidRPr="001665C7">
        <w:rPr>
          <w:sz w:val="23"/>
        </w:rPr>
        <w:t>C) strumentazione che necessita di supervisione: 2000 ore/anno</w:t>
      </w:r>
      <w:r w:rsidR="00F40B60">
        <w:rPr>
          <w:sz w:val="23"/>
        </w:rPr>
        <w:t>.</w:t>
      </w:r>
      <w:r w:rsidRPr="001665C7">
        <w:rPr>
          <w:sz w:val="23"/>
        </w:rPr>
        <w:t xml:space="preserve"> </w:t>
      </w:r>
    </w:p>
    <w:p w14:paraId="02F30E4E" w14:textId="728ED205" w:rsidR="008A00A4" w:rsidRDefault="005A4C7F" w:rsidP="001665C7">
      <w:pPr>
        <w:pStyle w:val="Corpotesto"/>
        <w:spacing w:before="10"/>
        <w:jc w:val="both"/>
        <w:rPr>
          <w:sz w:val="23"/>
        </w:rPr>
      </w:pPr>
      <w:r w:rsidRPr="004C2ACB">
        <w:rPr>
          <w:sz w:val="23"/>
        </w:rPr>
        <w:t xml:space="preserve">In casi particolari, </w:t>
      </w:r>
      <w:r w:rsidR="00C64ADF" w:rsidRPr="004C2ACB">
        <w:rPr>
          <w:sz w:val="23"/>
        </w:rPr>
        <w:t>dove siano richieste pres</w:t>
      </w:r>
      <w:r w:rsidR="007850FF" w:rsidRPr="004C2ACB">
        <w:rPr>
          <w:sz w:val="23"/>
        </w:rPr>
        <w:t>tazioni con regimi speciali o</w:t>
      </w:r>
      <w:r w:rsidR="00C64ADF" w:rsidRPr="004C2ACB">
        <w:rPr>
          <w:sz w:val="23"/>
        </w:rPr>
        <w:t xml:space="preserve"> si verifichino condizioni diverse da quanto specificato </w:t>
      </w:r>
      <w:r w:rsidR="00062E1B">
        <w:rPr>
          <w:sz w:val="23"/>
        </w:rPr>
        <w:t>viene redatta</w:t>
      </w:r>
      <w:r w:rsidR="00C64ADF" w:rsidRPr="004C2ACB">
        <w:rPr>
          <w:sz w:val="23"/>
        </w:rPr>
        <w:t xml:space="preserve"> una offerta ad hoc</w:t>
      </w:r>
      <w:r w:rsidR="007850FF" w:rsidRPr="004C2ACB">
        <w:rPr>
          <w:sz w:val="23"/>
        </w:rPr>
        <w:t>.</w:t>
      </w:r>
      <w:r w:rsidR="00C64ADF" w:rsidRPr="004C2ACB">
        <w:rPr>
          <w:sz w:val="23"/>
        </w:rPr>
        <w:t xml:space="preserve"> </w:t>
      </w:r>
    </w:p>
    <w:p w14:paraId="6C1BF38A" w14:textId="77777777" w:rsidR="00572506" w:rsidRDefault="00572506" w:rsidP="001665C7">
      <w:pPr>
        <w:pStyle w:val="Corpotesto"/>
        <w:spacing w:before="10"/>
        <w:jc w:val="both"/>
        <w:rPr>
          <w:sz w:val="23"/>
        </w:rPr>
      </w:pPr>
    </w:p>
    <w:p w14:paraId="0B4296FE" w14:textId="397ACFED" w:rsidR="00572506" w:rsidRDefault="00572506" w:rsidP="001665C7">
      <w:pPr>
        <w:pStyle w:val="Corpotesto"/>
        <w:spacing w:before="10"/>
        <w:jc w:val="both"/>
        <w:rPr>
          <w:rFonts w:ascii="Times New Roman" w:hAnsi="Times New Roman" w:cs="Times New Roman"/>
          <w:color w:val="000000" w:themeColor="text1"/>
        </w:rPr>
      </w:pPr>
      <w:r w:rsidRPr="00C524F8">
        <w:rPr>
          <w:color w:val="000000" w:themeColor="text1"/>
        </w:rPr>
        <w:t>Per gli utenti interni che usufruiscano dei servizi erogati dal Centro</w:t>
      </w:r>
      <w:r w:rsidR="004E2A69">
        <w:rPr>
          <w:color w:val="000000" w:themeColor="text1"/>
        </w:rPr>
        <w:t>, qualora non sia compreso</w:t>
      </w:r>
      <w:r w:rsidRPr="00C524F8">
        <w:rPr>
          <w:color w:val="000000" w:themeColor="text1"/>
        </w:rPr>
        <w:t xml:space="preserve"> nella tariffa il costo di kit o reagenti specifici per le misure, il Consiglio Direttivo ha deliberato di applicare una scontistica: per un utilizzo giornaliero che preveda un utilizzo </w:t>
      </w:r>
      <w:r w:rsidRPr="00C524F8">
        <w:rPr>
          <w:rFonts w:ascii="Times New Roman" w:hAnsi="Times New Roman" w:cs="Times New Roman"/>
          <w:color w:val="000000" w:themeColor="text1"/>
        </w:rPr>
        <w:t>≥</w:t>
      </w:r>
      <w:r w:rsidRPr="00C524F8">
        <w:rPr>
          <w:color w:val="000000" w:themeColor="text1"/>
        </w:rPr>
        <w:t xml:space="preserve">6 ore, viene applicato uno sconto del 50 % della tariffa. Per un utilizzo che preveda di usare le apparecchiature per un periodo </w:t>
      </w:r>
      <w:r w:rsidRPr="00C524F8">
        <w:rPr>
          <w:rFonts w:ascii="Times New Roman" w:hAnsi="Times New Roman" w:cs="Times New Roman"/>
          <w:color w:val="000000" w:themeColor="text1"/>
        </w:rPr>
        <w:t>≥ 12 ore (compreso l’utilizzo notturno dalle 18:00 alle 8:00 o durante i giorni festivi ed i</w:t>
      </w:r>
      <w:r>
        <w:rPr>
          <w:rFonts w:ascii="Times New Roman" w:hAnsi="Times New Roman" w:cs="Times New Roman"/>
          <w:color w:val="000000" w:themeColor="text1"/>
        </w:rPr>
        <w:t>l</w:t>
      </w:r>
      <w:r w:rsidRPr="00C524F8">
        <w:rPr>
          <w:rFonts w:ascii="Times New Roman" w:hAnsi="Times New Roman" w:cs="Times New Roman"/>
          <w:color w:val="000000" w:themeColor="text1"/>
        </w:rPr>
        <w:t xml:space="preserve"> fine settimana dalle 18:00 di venerdì alle 8:00 di lunedì) viene applicato uno sconto del 60 %.</w:t>
      </w:r>
    </w:p>
    <w:p w14:paraId="26B37363" w14:textId="4D5E7022" w:rsidR="00572506" w:rsidRDefault="00572506" w:rsidP="001665C7">
      <w:pPr>
        <w:pStyle w:val="Corpotesto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14:paraId="3B00BA05" w14:textId="76EA3A41" w:rsidR="00572506" w:rsidRDefault="00572506" w:rsidP="001665C7">
      <w:pPr>
        <w:pStyle w:val="Corpotesto"/>
        <w:spacing w:before="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Il Consiglio Direttivo con l’</w:t>
      </w:r>
      <w:r w:rsidR="00327EA8">
        <w:rPr>
          <w:rFonts w:ascii="Times New Roman" w:hAnsi="Times New Roman" w:cs="Times New Roman"/>
          <w:color w:val="000000" w:themeColor="text1"/>
        </w:rPr>
        <w:t>introduzione</w:t>
      </w:r>
      <w:r>
        <w:rPr>
          <w:rFonts w:ascii="Times New Roman" w:hAnsi="Times New Roman" w:cs="Times New Roman"/>
          <w:color w:val="000000" w:themeColor="text1"/>
        </w:rPr>
        <w:t xml:space="preserve"> d</w:t>
      </w:r>
      <w:r w:rsidR="00327EA8">
        <w:rPr>
          <w:rFonts w:ascii="Times New Roman" w:hAnsi="Times New Roman" w:cs="Times New Roman"/>
          <w:color w:val="000000" w:themeColor="text1"/>
        </w:rPr>
        <w:t>el</w:t>
      </w:r>
      <w:r>
        <w:rPr>
          <w:rFonts w:ascii="Times New Roman" w:hAnsi="Times New Roman" w:cs="Times New Roman"/>
          <w:color w:val="000000" w:themeColor="text1"/>
        </w:rPr>
        <w:t xml:space="preserve"> tariffario 2019 ha voluto incentivare l’utilizzo delle Piattaforme</w:t>
      </w:r>
      <w:r w:rsidR="002300C4">
        <w:rPr>
          <w:rFonts w:ascii="Times New Roman" w:hAnsi="Times New Roman" w:cs="Times New Roman"/>
          <w:color w:val="000000" w:themeColor="text1"/>
        </w:rPr>
        <w:t xml:space="preserve"> attraverso la scelta strategica di mantenere </w:t>
      </w:r>
      <w:r w:rsidR="00A248F3">
        <w:rPr>
          <w:rFonts w:ascii="Times New Roman" w:hAnsi="Times New Roman" w:cs="Times New Roman"/>
          <w:color w:val="000000" w:themeColor="text1"/>
        </w:rPr>
        <w:t xml:space="preserve">bassi </w:t>
      </w:r>
      <w:r w:rsidR="002300C4">
        <w:rPr>
          <w:rFonts w:ascii="Times New Roman" w:hAnsi="Times New Roman" w:cs="Times New Roman"/>
          <w:color w:val="000000" w:themeColor="text1"/>
        </w:rPr>
        <w:t xml:space="preserve">i costi </w:t>
      </w:r>
      <w:r w:rsidR="00A248F3">
        <w:rPr>
          <w:rFonts w:ascii="Times New Roman" w:hAnsi="Times New Roman" w:cs="Times New Roman"/>
          <w:color w:val="000000" w:themeColor="text1"/>
        </w:rPr>
        <w:t>di utilizzo</w:t>
      </w:r>
      <w:r w:rsidR="002300C4">
        <w:rPr>
          <w:rFonts w:ascii="Times New Roman" w:hAnsi="Times New Roman" w:cs="Times New Roman"/>
          <w:color w:val="000000" w:themeColor="text1"/>
        </w:rPr>
        <w:t>.</w:t>
      </w:r>
    </w:p>
    <w:p w14:paraId="08A95589" w14:textId="63431580" w:rsidR="00DF5BD6" w:rsidRDefault="00DF5BD6" w:rsidP="001665C7">
      <w:pPr>
        <w:pStyle w:val="Corpotesto"/>
        <w:spacing w:before="10"/>
        <w:jc w:val="both"/>
        <w:rPr>
          <w:rFonts w:ascii="Times New Roman" w:hAnsi="Times New Roman" w:cs="Times New Roman"/>
          <w:color w:val="000000" w:themeColor="text1"/>
        </w:rPr>
      </w:pPr>
    </w:p>
    <w:p w14:paraId="1F9CBA33" w14:textId="43A4D1B7" w:rsidR="00DF5BD6" w:rsidRDefault="00DF5BD6" w:rsidP="001665C7">
      <w:pPr>
        <w:pStyle w:val="Corpotesto"/>
        <w:spacing w:before="10"/>
        <w:jc w:val="both"/>
        <w:rPr>
          <w:sz w:val="23"/>
        </w:rPr>
      </w:pPr>
    </w:p>
    <w:p w14:paraId="250E2AA1" w14:textId="77777777" w:rsidR="00344B4F" w:rsidRDefault="00344B4F" w:rsidP="001665C7">
      <w:pPr>
        <w:pStyle w:val="Corpotesto"/>
        <w:spacing w:before="10"/>
        <w:jc w:val="both"/>
        <w:rPr>
          <w:sz w:val="23"/>
        </w:rPr>
      </w:pPr>
    </w:p>
    <w:p w14:paraId="6440DB9D" w14:textId="77777777" w:rsidR="00062E1B" w:rsidRDefault="00062E1B" w:rsidP="001665C7">
      <w:pPr>
        <w:pStyle w:val="Corpotesto"/>
        <w:spacing w:before="10"/>
        <w:jc w:val="both"/>
        <w:rPr>
          <w:sz w:val="23"/>
        </w:rPr>
      </w:pPr>
    </w:p>
    <w:p w14:paraId="5C9646A8" w14:textId="7D7DB062" w:rsidR="00062E1B" w:rsidRDefault="00062E1B" w:rsidP="001665C7">
      <w:pPr>
        <w:pStyle w:val="Corpotesto"/>
        <w:spacing w:before="10"/>
        <w:jc w:val="both"/>
        <w:rPr>
          <w:color w:val="FF0000"/>
          <w:sz w:val="23"/>
        </w:rPr>
      </w:pPr>
      <w:r w:rsidRPr="003D2DFF">
        <w:rPr>
          <w:color w:val="FF0000"/>
        </w:rPr>
        <w:t>TARIFFARIO 2020 PER INTERNI</w:t>
      </w:r>
      <w:r w:rsidRPr="003D2DFF">
        <w:rPr>
          <w:color w:val="FF0000"/>
          <w:sz w:val="23"/>
        </w:rPr>
        <w:t xml:space="preserve"> </w:t>
      </w:r>
    </w:p>
    <w:p w14:paraId="59E4A26D" w14:textId="77777777" w:rsidR="00DF5BD6" w:rsidRPr="003D2DFF" w:rsidRDefault="00DF5BD6" w:rsidP="001665C7">
      <w:pPr>
        <w:pStyle w:val="Corpotesto"/>
        <w:spacing w:before="10"/>
        <w:jc w:val="both"/>
        <w:rPr>
          <w:color w:val="FF0000"/>
          <w:sz w:val="23"/>
        </w:rPr>
      </w:pPr>
    </w:p>
    <w:p w14:paraId="6DEA6BFE" w14:textId="398E56AC" w:rsidR="00572506" w:rsidRDefault="00062E1B" w:rsidP="001665C7">
      <w:pPr>
        <w:pStyle w:val="Corpotesto"/>
        <w:spacing w:before="10"/>
        <w:jc w:val="both"/>
        <w:rPr>
          <w:sz w:val="23"/>
        </w:rPr>
      </w:pPr>
      <w:r>
        <w:rPr>
          <w:sz w:val="23"/>
        </w:rPr>
        <w:t xml:space="preserve">Nel corso del 2020 con l’arrivo di nuove tecnologie la determinazione del costo unitario definita dai criteri suddetti non è apparsa più idonea; infatti, nuove strumentazioni anche molto costose in presenza di un periodo gratuito di garanzia (solitamente un anno) e senza necessità di consumabili avrebbero un costo pari a </w:t>
      </w:r>
      <w:r w:rsidR="006A7478">
        <w:rPr>
          <w:sz w:val="23"/>
        </w:rPr>
        <w:t>zero</w:t>
      </w:r>
      <w:r>
        <w:rPr>
          <w:sz w:val="23"/>
        </w:rPr>
        <w:t>, mentre tecnologie anche molto vecchie in presenza di contratti di manutenzione manterrebbero costi più elevati</w:t>
      </w:r>
      <w:r w:rsidR="00572506">
        <w:rPr>
          <w:sz w:val="23"/>
        </w:rPr>
        <w:t>. Inoltre anche in caso di mancanza di contratti di manutenzion</w:t>
      </w:r>
      <w:r w:rsidR="00BF0A2A">
        <w:rPr>
          <w:sz w:val="23"/>
        </w:rPr>
        <w:t>e</w:t>
      </w:r>
      <w:r w:rsidR="00572506">
        <w:rPr>
          <w:sz w:val="23"/>
        </w:rPr>
        <w:t>, i costi per interventi di riparazione non sarebbero inseriti nella tariffa secondo quant</w:t>
      </w:r>
      <w:r w:rsidR="002300C4">
        <w:rPr>
          <w:sz w:val="23"/>
        </w:rPr>
        <w:t>o previsto dal tariffario 2019. Infine la nuova Governance di Ateneo ha chiaramente indicato la necessità che il Centro sviluppi nuove strategie per ridurre i costi di ge</w:t>
      </w:r>
      <w:r w:rsidR="00DF5BD6">
        <w:rPr>
          <w:sz w:val="23"/>
        </w:rPr>
        <w:t>stione.</w:t>
      </w:r>
    </w:p>
    <w:p w14:paraId="6FC3A6E8" w14:textId="2D56D97A" w:rsidR="00FB491E" w:rsidRDefault="002300C4" w:rsidP="001665C7">
      <w:pPr>
        <w:pStyle w:val="Corpotesto"/>
        <w:spacing w:before="10"/>
        <w:jc w:val="both"/>
        <w:rPr>
          <w:sz w:val="23"/>
        </w:rPr>
      </w:pPr>
      <w:r>
        <w:rPr>
          <w:sz w:val="23"/>
        </w:rPr>
        <w:t>Per questi motivi,</w:t>
      </w:r>
      <w:r w:rsidR="00062E1B">
        <w:rPr>
          <w:sz w:val="23"/>
        </w:rPr>
        <w:t xml:space="preserve"> ritenendo che tecnologie nuove debbano avere una tariffa di accesso anche per supportare le spese </w:t>
      </w:r>
      <w:r w:rsidR="00062E1B" w:rsidRPr="00DE2C5F">
        <w:rPr>
          <w:sz w:val="23"/>
        </w:rPr>
        <w:t xml:space="preserve">di mantenimento future, </w:t>
      </w:r>
      <w:r w:rsidR="00344B4F" w:rsidRPr="00DE2C5F">
        <w:rPr>
          <w:sz w:val="23"/>
        </w:rPr>
        <w:t>il Consiglio Direttivo nella seduta del 25/6/2020 ha deliberato il nuovo tariffario 2020, ritenendo</w:t>
      </w:r>
      <w:r w:rsidR="00062E1B" w:rsidRPr="00DE2C5F">
        <w:rPr>
          <w:sz w:val="23"/>
        </w:rPr>
        <w:t xml:space="preserve"> opportuno</w:t>
      </w:r>
      <w:r w:rsidR="00572506" w:rsidRPr="00DE2C5F">
        <w:rPr>
          <w:sz w:val="23"/>
        </w:rPr>
        <w:t xml:space="preserve"> revisionare il calcolo del costo unitario alla base delle tariffe per gli utenti interni, tenendo conto</w:t>
      </w:r>
      <w:r w:rsidR="00572506">
        <w:rPr>
          <w:sz w:val="23"/>
        </w:rPr>
        <w:t xml:space="preserve"> di:</w:t>
      </w:r>
    </w:p>
    <w:p w14:paraId="6BE1BECA" w14:textId="77777777" w:rsidR="00D70725" w:rsidRDefault="00572506" w:rsidP="00572506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𝑂</w:t>
      </w:r>
      <w:r w:rsidRPr="00572506">
        <w:rPr>
          <w:rFonts w:ascii="Cambria Math" w:hAnsi="Cambria Math" w:cs="Cambria Math"/>
          <w:sz w:val="23"/>
          <w:vertAlign w:val="subscript"/>
        </w:rPr>
        <w:t>𝑃𝐼</w:t>
      </w:r>
      <w:r w:rsidRPr="00572506">
        <w:rPr>
          <w:sz w:val="23"/>
        </w:rPr>
        <w:t xml:space="preserve"> = Ore potenziali di utilizzo specifiche per interni  </w:t>
      </w:r>
    </w:p>
    <w:p w14:paraId="516875C5" w14:textId="17B50AD1" w:rsidR="00FE2BF7" w:rsidRPr="00871AD2" w:rsidRDefault="00D70725" w:rsidP="00FE2BF7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D70725">
        <w:rPr>
          <w:i/>
          <w:sz w:val="23"/>
        </w:rPr>
        <w:t>Coef</w:t>
      </w:r>
      <w:r w:rsidRPr="00D70725">
        <w:rPr>
          <w:i/>
          <w:sz w:val="23"/>
          <w:vertAlign w:val="subscript"/>
        </w:rPr>
        <w:t>a</w:t>
      </w:r>
      <w:r>
        <w:rPr>
          <w:sz w:val="23"/>
        </w:rPr>
        <w:t xml:space="preserve"> </w:t>
      </w:r>
      <w:r w:rsidR="00FE2BF7">
        <w:rPr>
          <w:sz w:val="23"/>
        </w:rPr>
        <w:t xml:space="preserve">= </w:t>
      </w:r>
      <w:r w:rsidR="00FE2BF7" w:rsidRPr="00871AD2">
        <w:rPr>
          <w:sz w:val="23"/>
        </w:rPr>
        <w:t>100 %</w:t>
      </w:r>
    </w:p>
    <w:p w14:paraId="39DD6BCD" w14:textId="15014794" w:rsidR="00572506" w:rsidRPr="00871AD2" w:rsidRDefault="00D70725" w:rsidP="00572506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871AD2">
        <w:rPr>
          <w:i/>
          <w:sz w:val="23"/>
        </w:rPr>
        <w:t>Coef</w:t>
      </w:r>
      <w:r w:rsidRPr="00871AD2">
        <w:rPr>
          <w:i/>
          <w:sz w:val="23"/>
          <w:vertAlign w:val="subscript"/>
        </w:rPr>
        <w:t>b</w:t>
      </w:r>
      <w:r w:rsidRPr="00871AD2">
        <w:rPr>
          <w:sz w:val="23"/>
        </w:rPr>
        <w:t xml:space="preserve"> = </w:t>
      </w:r>
      <w:r w:rsidR="00B265A2" w:rsidRPr="00871AD2">
        <w:rPr>
          <w:sz w:val="23"/>
        </w:rPr>
        <w:t>10 %</w:t>
      </w:r>
      <w:r w:rsidR="00572506" w:rsidRPr="00871AD2">
        <w:rPr>
          <w:sz w:val="23"/>
        </w:rPr>
        <w:t xml:space="preserve"> </w:t>
      </w:r>
    </w:p>
    <w:p w14:paraId="2C5168AB" w14:textId="77777777" w:rsidR="00572506" w:rsidRPr="00572506" w:rsidRDefault="00572506" w:rsidP="00572506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871AD2">
        <w:rPr>
          <w:rFonts w:ascii="Cambria Math" w:hAnsi="Cambria Math" w:cs="Cambria Math"/>
          <w:sz w:val="23"/>
        </w:rPr>
        <w:t>𝑆</w:t>
      </w:r>
      <w:r w:rsidRPr="00871AD2">
        <w:rPr>
          <w:sz w:val="23"/>
        </w:rPr>
        <w:t xml:space="preserve"> = Spese materiale</w:t>
      </w:r>
      <w:r w:rsidRPr="00572506">
        <w:rPr>
          <w:sz w:val="23"/>
        </w:rPr>
        <w:t xml:space="preserve"> di consumo  </w:t>
      </w:r>
    </w:p>
    <w:p w14:paraId="4A2937C5" w14:textId="275C2E39" w:rsidR="00572506" w:rsidRPr="00572506" w:rsidRDefault="00572506" w:rsidP="00572506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𝐶</w:t>
      </w:r>
      <w:r w:rsidRPr="00572506">
        <w:rPr>
          <w:rFonts w:ascii="Cambria Math" w:hAnsi="Cambria Math" w:cs="Cambria Math"/>
          <w:sz w:val="23"/>
          <w:vertAlign w:val="subscript"/>
        </w:rPr>
        <w:t>𝑚</w:t>
      </w:r>
      <w:r w:rsidRPr="00572506">
        <w:rPr>
          <w:sz w:val="23"/>
        </w:rPr>
        <w:t>= Costi di manutenzione ordinaria</w:t>
      </w:r>
    </w:p>
    <w:p w14:paraId="2A4D5DA1" w14:textId="2C113906" w:rsidR="00572506" w:rsidRPr="00572506" w:rsidRDefault="00572506" w:rsidP="00572506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𝐴</w:t>
      </w:r>
      <w:r w:rsidRPr="00572506">
        <w:rPr>
          <w:sz w:val="23"/>
        </w:rPr>
        <w:t>= Ammortamento dello strumento (aliquota al 12,5% = 8 anni</w:t>
      </w:r>
      <w:r w:rsidR="00FE2BF7">
        <w:rPr>
          <w:sz w:val="23"/>
        </w:rPr>
        <w:t xml:space="preserve"> o 20% = 5 anni</w:t>
      </w:r>
      <w:r w:rsidRPr="00572506">
        <w:rPr>
          <w:sz w:val="23"/>
        </w:rPr>
        <w:t>)</w:t>
      </w:r>
    </w:p>
    <w:p w14:paraId="750DB3E4" w14:textId="64883467" w:rsidR="00572506" w:rsidRPr="00572506" w:rsidRDefault="00572506" w:rsidP="00572506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𝐴</w:t>
      </w:r>
      <w:r w:rsidRPr="00572506">
        <w:rPr>
          <w:rFonts w:ascii="Cambria Math" w:hAnsi="Cambria Math" w:cs="Cambria Math"/>
          <w:sz w:val="23"/>
          <w:vertAlign w:val="subscript"/>
        </w:rPr>
        <w:t>𝐶</w:t>
      </w:r>
      <w:r w:rsidRPr="00572506">
        <w:rPr>
          <w:sz w:val="23"/>
        </w:rPr>
        <w:t>= Ammortamento strumentazione a corredo (aliquota variabile per tipo di strumentazione)</w:t>
      </w:r>
    </w:p>
    <w:p w14:paraId="77EA202F" w14:textId="72892786" w:rsidR="00572506" w:rsidRDefault="00572506" w:rsidP="00572506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𝑀</w:t>
      </w:r>
      <w:r w:rsidRPr="00572506">
        <w:rPr>
          <w:rFonts w:ascii="Cambria Math" w:hAnsi="Cambria Math" w:cs="Cambria Math"/>
          <w:sz w:val="23"/>
          <w:vertAlign w:val="subscript"/>
        </w:rPr>
        <w:t>𝐴</w:t>
      </w:r>
      <w:r w:rsidRPr="00572506">
        <w:rPr>
          <w:sz w:val="23"/>
        </w:rPr>
        <w:t>= Costo di manutenzione ordinaria della strumentazione a corredo</w:t>
      </w:r>
    </w:p>
    <w:p w14:paraId="5B15AFD7" w14:textId="77777777" w:rsidR="00572506" w:rsidRDefault="00572506" w:rsidP="001665C7">
      <w:pPr>
        <w:pStyle w:val="Corpotesto"/>
        <w:spacing w:before="10"/>
        <w:jc w:val="both"/>
        <w:rPr>
          <w:sz w:val="23"/>
        </w:rPr>
      </w:pPr>
    </w:p>
    <w:p w14:paraId="51FAD42D" w14:textId="193B47F7" w:rsidR="00B87135" w:rsidRDefault="00BB077C" w:rsidP="001665C7">
      <w:pPr>
        <w:pStyle w:val="Corpotesto"/>
        <w:spacing w:before="1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  <w:sz w:val="23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3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  <w:sz w:val="23"/>
                </w:rPr>
                <m:t>I new</m:t>
              </m:r>
            </m:sub>
          </m:sSub>
          <m:r>
            <w:rPr>
              <w:rFonts w:ascii="Cambria Math" w:hAnsi="Cambria Math"/>
              <w:color w:val="FF0000"/>
              <w:sz w:val="23"/>
            </w:rPr>
            <m:t>=S+</m:t>
          </m:r>
          <m:f>
            <m:fPr>
              <m:ctrlPr>
                <w:rPr>
                  <w:rFonts w:ascii="Cambria Math" w:hAnsi="Cambria Math"/>
                  <w:i/>
                  <w:iCs/>
                  <w:color w:val="FF0000"/>
                  <w:sz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3"/>
                    </w:rPr>
                    <m:t>m 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3"/>
                    </w:rPr>
                    <m:t>+M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3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3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3"/>
                    </w:rPr>
                    <m:t>PI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3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  <w:sz w:val="23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3"/>
                </w:rPr>
                <m:t>Coef</m:t>
              </m:r>
            </m:e>
            <m:sub>
              <m:r>
                <w:rPr>
                  <w:rFonts w:ascii="Cambria Math" w:hAnsi="Cambria Math"/>
                  <w:color w:val="FF0000"/>
                  <w:sz w:val="23"/>
                </w:rPr>
                <m:t>a</m:t>
              </m:r>
            </m:sub>
          </m:sSub>
          <m:r>
            <w:rPr>
              <w:rFonts w:ascii="Cambria Math" w:hAnsi="Cambria Math"/>
              <w:color w:val="FF0000"/>
              <w:sz w:val="23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color w:val="FF0000"/>
                  <w:sz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3"/>
                    </w:rPr>
                    <m:t>A+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3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3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  <w:sz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3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3"/>
                        </w:rPr>
                        <m:t>PI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FF0000"/>
              <w:sz w:val="23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iCs/>
                  <w:color w:val="FF0000"/>
                  <w:sz w:val="23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3"/>
                </w:rPr>
                <m:t>Coef</m:t>
              </m:r>
            </m:e>
            <m:sub>
              <m:r>
                <w:rPr>
                  <w:rFonts w:ascii="Cambria Math" w:hAnsi="Cambria Math"/>
                  <w:color w:val="FF0000"/>
                  <w:sz w:val="23"/>
                </w:rPr>
                <m:t>b</m:t>
              </m:r>
            </m:sub>
          </m:sSub>
        </m:oMath>
      </m:oMathPara>
    </w:p>
    <w:p w14:paraId="1F8F10FF" w14:textId="77777777" w:rsidR="003D2DFF" w:rsidRPr="00572506" w:rsidRDefault="003D2DFF" w:rsidP="002300C4">
      <w:pPr>
        <w:pStyle w:val="Corpotesto"/>
        <w:spacing w:before="10"/>
        <w:jc w:val="both"/>
      </w:pPr>
    </w:p>
    <w:p w14:paraId="094F64BA" w14:textId="39EA36EF" w:rsidR="003D2DFF" w:rsidRDefault="00344B4F" w:rsidP="00344B4F">
      <w:pPr>
        <w:pStyle w:val="Corpotesto"/>
        <w:spacing w:before="10"/>
        <w:jc w:val="both"/>
      </w:pPr>
      <w:r>
        <w:t>In questo caso,</w:t>
      </w:r>
      <w:r w:rsidR="003D2DFF">
        <w:t xml:space="preserve"> il c</w:t>
      </w:r>
      <w:r w:rsidR="003D2DFF" w:rsidRPr="00572506">
        <w:t xml:space="preserve">alcolo </w:t>
      </w:r>
      <w:r w:rsidR="003D2DFF">
        <w:t xml:space="preserve">risulta </w:t>
      </w:r>
      <w:r w:rsidR="003D2DFF" w:rsidRPr="00572506">
        <w:t>corretto ai fini della rend</w:t>
      </w:r>
      <w:r w:rsidR="003D2DFF">
        <w:t>icontazione in progetti europei e le t</w:t>
      </w:r>
      <w:r w:rsidR="003D2DFF" w:rsidRPr="00572506">
        <w:t>ariffe</w:t>
      </w:r>
      <w:r w:rsidR="003D2DFF">
        <w:t xml:space="preserve"> risultano</w:t>
      </w:r>
      <w:r w:rsidR="003D2DFF" w:rsidRPr="00572506">
        <w:t xml:space="preserve"> mediamente molto </w:t>
      </w:r>
      <w:r w:rsidR="003D2DFF" w:rsidRPr="00DE2C5F">
        <w:t>contenute (scegliendo lo sconto più appropriato). Inoltre la tariffa non si annulla in caso di strumenti nuovi e le manutenzioni straordinarie possono essere inserire nella voce del</w:t>
      </w:r>
      <w:r w:rsidR="00D70725" w:rsidRPr="00DE2C5F">
        <w:t>l’ammortamento dello strumento; i</w:t>
      </w:r>
      <w:r w:rsidR="003D2DFF" w:rsidRPr="00DE2C5F">
        <w:t>nfine viene mantenuta la scontistica per uso frequente o nel weekend.</w:t>
      </w:r>
    </w:p>
    <w:p w14:paraId="20171684" w14:textId="77777777" w:rsidR="003D2DFF" w:rsidRDefault="003D2DFF" w:rsidP="001665C7">
      <w:pPr>
        <w:pStyle w:val="Corpotesto"/>
        <w:spacing w:before="10"/>
        <w:jc w:val="both"/>
      </w:pPr>
    </w:p>
    <w:p w14:paraId="0B3CAB8C" w14:textId="67872E08" w:rsidR="00FB491E" w:rsidRDefault="00FB491E" w:rsidP="001665C7">
      <w:pPr>
        <w:pStyle w:val="Corpotesto"/>
        <w:spacing w:before="10"/>
        <w:jc w:val="both"/>
        <w:rPr>
          <w:sz w:val="23"/>
        </w:rPr>
      </w:pPr>
      <w:r>
        <w:t>TARIFFA</w:t>
      </w:r>
      <w:r w:rsidR="00F835C2">
        <w:t>RIO 2019</w:t>
      </w:r>
      <w:r>
        <w:t xml:space="preserve"> PER ESTERNI NO PROFIT</w:t>
      </w:r>
      <w:r w:rsidR="00F835C2">
        <w:t xml:space="preserve"> E PROFIT</w:t>
      </w:r>
    </w:p>
    <w:p w14:paraId="4B3D94E9" w14:textId="77777777" w:rsidR="00FB491E" w:rsidRDefault="00FB491E" w:rsidP="001665C7">
      <w:pPr>
        <w:pStyle w:val="Corpotesto"/>
        <w:spacing w:before="10"/>
        <w:jc w:val="both"/>
        <w:rPr>
          <w:sz w:val="23"/>
        </w:rPr>
      </w:pPr>
    </w:p>
    <w:p w14:paraId="720374FE" w14:textId="197D7DCF" w:rsidR="000B59E6" w:rsidRDefault="00FB491E" w:rsidP="001665C7">
      <w:pPr>
        <w:pStyle w:val="Corpotesto"/>
        <w:spacing w:before="10"/>
        <w:jc w:val="both"/>
        <w:rPr>
          <w:sz w:val="23"/>
        </w:rPr>
      </w:pPr>
      <w:r>
        <w:rPr>
          <w:sz w:val="23"/>
        </w:rPr>
        <w:t>Per</w:t>
      </w:r>
      <w:r w:rsidR="001665C7" w:rsidRPr="001665C7">
        <w:rPr>
          <w:sz w:val="23"/>
        </w:rPr>
        <w:t xml:space="preserve"> l'utilizzo da parte di utenti esterni</w:t>
      </w:r>
      <w:r w:rsidR="002C41B2">
        <w:rPr>
          <w:sz w:val="23"/>
        </w:rPr>
        <w:t xml:space="preserve"> la </w:t>
      </w:r>
      <w:r w:rsidR="002C41B2" w:rsidRPr="002C41B2">
        <w:rPr>
          <w:b/>
          <w:sz w:val="23"/>
        </w:rPr>
        <w:t>tariffa no profit</w:t>
      </w:r>
      <w:r w:rsidR="00F835C2">
        <w:rPr>
          <w:b/>
          <w:sz w:val="23"/>
        </w:rPr>
        <w:t xml:space="preserve"> </w:t>
      </w:r>
      <w:r w:rsidR="00F835C2" w:rsidRPr="00F835C2">
        <w:rPr>
          <w:sz w:val="23"/>
        </w:rPr>
        <w:t>nel 2019</w:t>
      </w:r>
      <w:r w:rsidR="002C41B2">
        <w:rPr>
          <w:sz w:val="23"/>
        </w:rPr>
        <w:t xml:space="preserve"> è stata quantificata determinando</w:t>
      </w:r>
      <w:r w:rsidR="001665C7" w:rsidRPr="001665C7">
        <w:rPr>
          <w:sz w:val="23"/>
        </w:rPr>
        <w:t xml:space="preserve"> </w:t>
      </w:r>
      <w:r w:rsidR="002C41B2">
        <w:rPr>
          <w:sz w:val="23"/>
        </w:rPr>
        <w:t>i</w:t>
      </w:r>
      <w:r w:rsidR="00F40B60">
        <w:rPr>
          <w:sz w:val="23"/>
        </w:rPr>
        <w:t>l costo unitario</w:t>
      </w:r>
      <w:r w:rsidR="002C41B2">
        <w:rPr>
          <w:sz w:val="23"/>
        </w:rPr>
        <w:t xml:space="preserve"> che </w:t>
      </w:r>
      <w:r w:rsidR="001665C7" w:rsidRPr="001665C7">
        <w:rPr>
          <w:sz w:val="23"/>
        </w:rPr>
        <w:t xml:space="preserve">in questo caso tiene conto, in aggiunta alle voci considerate per </w:t>
      </w:r>
      <w:r w:rsidR="00F40B60">
        <w:rPr>
          <w:sz w:val="23"/>
        </w:rPr>
        <w:t>i costi unitari</w:t>
      </w:r>
      <w:r w:rsidR="001665C7" w:rsidRPr="001665C7">
        <w:rPr>
          <w:sz w:val="23"/>
        </w:rPr>
        <w:t xml:space="preserve"> per interni</w:t>
      </w:r>
      <w:r>
        <w:rPr>
          <w:sz w:val="23"/>
        </w:rPr>
        <w:t xml:space="preserve"> (</w:t>
      </w:r>
      <w:r w:rsidR="002C41B2">
        <w:rPr>
          <w:sz w:val="23"/>
        </w:rPr>
        <w:t>materiale consumabile</w:t>
      </w:r>
      <w:r w:rsidR="00E342A2">
        <w:rPr>
          <w:sz w:val="23"/>
        </w:rPr>
        <w:t xml:space="preserve"> e</w:t>
      </w:r>
      <w:r w:rsidR="002C41B2">
        <w:rPr>
          <w:sz w:val="23"/>
        </w:rPr>
        <w:t xml:space="preserve"> manutenzione laddove prevista)</w:t>
      </w:r>
      <w:r w:rsidR="001665C7" w:rsidRPr="001665C7">
        <w:rPr>
          <w:sz w:val="23"/>
        </w:rPr>
        <w:t>, anche del costo del personale necessario per assicurare il funzionamento dell'attrezzatura</w:t>
      </w:r>
      <w:r>
        <w:rPr>
          <w:sz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</w:rPr>
            </m:ctrlPr>
          </m:sSubPr>
          <m:e>
            <m:r>
              <w:rPr>
                <w:rFonts w:ascii="Cambria Math" w:hAnsi="Cambria Math"/>
                <w:sz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</w:rPr>
              <m:t>P</m:t>
            </m:r>
          </m:sub>
        </m:sSub>
      </m:oMath>
      <w:r w:rsidR="001665C7" w:rsidRPr="001665C7">
        <w:rPr>
          <w:sz w:val="23"/>
        </w:rPr>
        <w:t xml:space="preserve">, </w:t>
      </w:r>
      <w:r w:rsidR="002C41B2">
        <w:rPr>
          <w:sz w:val="23"/>
        </w:rPr>
        <w:t xml:space="preserve">e </w:t>
      </w:r>
      <w:r w:rsidR="0004018F">
        <w:rPr>
          <w:sz w:val="23"/>
        </w:rPr>
        <w:t xml:space="preserve">delle </w:t>
      </w:r>
      <w:r w:rsidR="0004018F" w:rsidRPr="00C524F8">
        <w:rPr>
          <w:color w:val="000000" w:themeColor="text1"/>
          <w:sz w:val="23"/>
        </w:rPr>
        <w:t xml:space="preserve">aliquote di ammortamento che risultano essere pari al </w:t>
      </w:r>
      <w:r w:rsidR="002C41B2" w:rsidRPr="00C524F8">
        <w:rPr>
          <w:color w:val="000000" w:themeColor="text1"/>
          <w:sz w:val="23"/>
        </w:rPr>
        <w:t>12.5</w:t>
      </w:r>
      <w:r w:rsidR="0004018F" w:rsidRPr="00C524F8">
        <w:rPr>
          <w:color w:val="000000" w:themeColor="text1"/>
          <w:sz w:val="23"/>
        </w:rPr>
        <w:t xml:space="preserve">% </w:t>
      </w:r>
      <w:r w:rsidR="002C41B2" w:rsidRPr="00C524F8">
        <w:rPr>
          <w:color w:val="000000" w:themeColor="text1"/>
          <w:sz w:val="23"/>
        </w:rPr>
        <w:t>nei casi dei macchina</w:t>
      </w:r>
      <w:r w:rsidR="00B25F0A" w:rsidRPr="00C524F8">
        <w:rPr>
          <w:color w:val="000000" w:themeColor="text1"/>
          <w:sz w:val="23"/>
        </w:rPr>
        <w:t xml:space="preserve">ri ed attrezzature </w:t>
      </w:r>
      <w:r w:rsidR="006A7478" w:rsidRPr="00C524F8">
        <w:rPr>
          <w:color w:val="000000" w:themeColor="text1"/>
          <w:sz w:val="23"/>
        </w:rPr>
        <w:t>scientific</w:t>
      </w:r>
      <w:r w:rsidR="006A7478">
        <w:rPr>
          <w:color w:val="000000" w:themeColor="text1"/>
          <w:sz w:val="23"/>
        </w:rPr>
        <w:t>i</w:t>
      </w:r>
      <m:oMath>
        <m:r>
          <w:rPr>
            <w:rFonts w:ascii="Cambria Math" w:hAnsi="Cambria Math"/>
            <w:color w:val="000000" w:themeColor="text1"/>
            <w:sz w:val="23"/>
          </w:rPr>
          <m:t xml:space="preserve"> (A)</m:t>
        </m:r>
      </m:oMath>
      <w:r w:rsidR="00D20590" w:rsidRPr="00C524F8">
        <w:rPr>
          <w:color w:val="000000" w:themeColor="text1"/>
          <w:sz w:val="23"/>
        </w:rPr>
        <w:t xml:space="preserve">, </w:t>
      </w:r>
      <w:r w:rsidR="00D20590" w:rsidRPr="00C524F8">
        <w:rPr>
          <w:color w:val="000000" w:themeColor="text1"/>
        </w:rPr>
        <w:t>tenendo conto delle ore di funzionamento potenziale di ciascun strumento</w:t>
      </w:r>
      <w:r w:rsidR="00B20100" w:rsidRPr="00C524F8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 w:rsidR="00B20100" w:rsidRPr="00C524F8">
        <w:rPr>
          <w:color w:val="000000" w:themeColor="text1"/>
        </w:rPr>
        <w:t>.</w:t>
      </w:r>
      <w:r w:rsidR="00B20100" w:rsidRPr="00C524F8">
        <w:rPr>
          <w:color w:val="000000" w:themeColor="text1"/>
          <w:sz w:val="23"/>
        </w:rPr>
        <w:t xml:space="preserve"> </w:t>
      </w:r>
      <w:r w:rsidR="002C41B2" w:rsidRPr="00C524F8">
        <w:rPr>
          <w:color w:val="000000" w:themeColor="text1"/>
          <w:sz w:val="23"/>
        </w:rPr>
        <w:t xml:space="preserve">Nel </w:t>
      </w:r>
      <w:r w:rsidR="002C41B2">
        <w:rPr>
          <w:sz w:val="23"/>
        </w:rPr>
        <w:t>caso di procedure che richied</w:t>
      </w:r>
      <w:r w:rsidR="00E342A2">
        <w:rPr>
          <w:sz w:val="23"/>
        </w:rPr>
        <w:t>a</w:t>
      </w:r>
      <w:r w:rsidR="002C41B2">
        <w:rPr>
          <w:sz w:val="23"/>
        </w:rPr>
        <w:t>no la preparazione del campione, il costo unitario è stato quantificato anche tenendo conto dell’ammortamento</w:t>
      </w:r>
      <w:r w:rsidR="00652C3E">
        <w:rPr>
          <w:sz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</w:rPr>
            </m:ctrlPr>
          </m:sSubPr>
          <m:e>
            <m:r>
              <w:rPr>
                <w:rFonts w:ascii="Cambria Math" w:hAnsi="Cambria Math"/>
                <w:sz w:val="23"/>
              </w:rPr>
              <m:t>A</m:t>
            </m:r>
          </m:e>
          <m:sub>
            <m:r>
              <w:rPr>
                <w:rFonts w:ascii="Cambria Math" w:hAnsi="Cambria Math"/>
                <w:sz w:val="23"/>
              </w:rPr>
              <m:t>C</m:t>
            </m:r>
          </m:sub>
        </m:sSub>
      </m:oMath>
      <w:bookmarkStart w:id="0" w:name="_GoBack"/>
      <w:r w:rsidR="006A7478">
        <w:rPr>
          <w:sz w:val="23"/>
        </w:rPr>
        <w:t xml:space="preserve">, </w:t>
      </w:r>
      <w:bookmarkEnd w:id="0"/>
      <w:r w:rsidR="00D20590">
        <w:rPr>
          <w:sz w:val="23"/>
        </w:rPr>
        <w:t xml:space="preserve">sempre </w:t>
      </w:r>
      <w:r w:rsidR="00D20590" w:rsidRPr="00E342A2">
        <w:t>tenendo conto delle</w:t>
      </w:r>
      <w:r w:rsidR="00D20590">
        <w:t xml:space="preserve"> ore di funzionamento potenziale </w:t>
      </w:r>
      <w:r w:rsidR="00D20590" w:rsidRPr="00E342A2">
        <w:t>di ciascun strumen</w:t>
      </w:r>
      <w:r w:rsidR="00D20590" w:rsidRPr="00022375">
        <w:rPr>
          <w:color w:val="000000" w:themeColor="text1"/>
        </w:rPr>
        <w:t>to</w:t>
      </w:r>
      <w:r w:rsidR="00D20590">
        <w:rPr>
          <w:sz w:val="23"/>
        </w:rPr>
        <w:t xml:space="preserve"> </w:t>
      </w:r>
      <w:r w:rsidR="00652C3E">
        <w:rPr>
          <w:sz w:val="23"/>
        </w:rPr>
        <w:t xml:space="preserve">e della manutenzione ordinaria </w:t>
      </w:r>
      <m:oMath>
        <m:sSub>
          <m:sSubPr>
            <m:ctrlPr>
              <w:rPr>
                <w:rFonts w:ascii="Cambria Math" w:hAnsi="Cambria Math"/>
                <w:i/>
                <w:sz w:val="23"/>
              </w:rPr>
            </m:ctrlPr>
          </m:sSubPr>
          <m:e>
            <m:r>
              <w:rPr>
                <w:rFonts w:ascii="Cambria Math" w:hAnsi="Cambria Math"/>
                <w:sz w:val="23"/>
              </w:rPr>
              <m:t>M</m:t>
            </m:r>
          </m:e>
          <m:sub>
            <m:r>
              <w:rPr>
                <w:rFonts w:ascii="Cambria Math" w:hAnsi="Cambria Math"/>
                <w:sz w:val="23"/>
              </w:rPr>
              <m:t>A</m:t>
            </m:r>
          </m:sub>
        </m:sSub>
      </m:oMath>
      <w:r w:rsidR="00652C3E">
        <w:rPr>
          <w:sz w:val="23"/>
        </w:rPr>
        <w:t xml:space="preserve"> (10% del costo dello strumento</w:t>
      </w:r>
      <w:r w:rsidR="00DA139F">
        <w:rPr>
          <w:sz w:val="23"/>
        </w:rPr>
        <w:t xml:space="preserve"> pesate sulle ore potenziali di funzionamento</w:t>
      </w:r>
      <w:r w:rsidR="00652C3E">
        <w:rPr>
          <w:sz w:val="23"/>
        </w:rPr>
        <w:t>)</w:t>
      </w:r>
      <w:r w:rsidR="002C41B2">
        <w:rPr>
          <w:sz w:val="23"/>
        </w:rPr>
        <w:t xml:space="preserve"> delle strumentazioni accessorie acquisite dal CPT necessari all’espletamento della procedura. </w:t>
      </w:r>
      <w:r w:rsidR="00DA139F">
        <w:rPr>
          <w:sz w:val="23"/>
        </w:rPr>
        <w:t>L’aliquota dell</w:t>
      </w:r>
      <w:r w:rsidR="00652C3E">
        <w:rPr>
          <w:sz w:val="23"/>
        </w:rPr>
        <w:t xml:space="preserve">’ammortamento delle strumentazioni accessorie </w:t>
      </w:r>
      <w:r w:rsidR="00DA139F">
        <w:rPr>
          <w:sz w:val="23"/>
        </w:rPr>
        <w:t>è del 12,5%.</w:t>
      </w:r>
    </w:p>
    <w:p w14:paraId="6CFD11E8" w14:textId="77777777" w:rsidR="00344B4F" w:rsidRPr="00344B4F" w:rsidRDefault="00344B4F" w:rsidP="001665C7">
      <w:pPr>
        <w:pStyle w:val="Corpotesto"/>
        <w:spacing w:before="10"/>
        <w:jc w:val="both"/>
        <w:rPr>
          <w:sz w:val="23"/>
        </w:rPr>
      </w:pPr>
    </w:p>
    <w:p w14:paraId="065A5609" w14:textId="2483BD2C" w:rsidR="000B59E6" w:rsidRDefault="00BB077C" w:rsidP="001665C7">
      <w:pPr>
        <w:pStyle w:val="Corpotesto"/>
        <w:spacing w:before="10"/>
        <w:jc w:val="both"/>
        <w:rPr>
          <w:sz w:val="2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</w:rPr>
                <m:t>NP</m:t>
              </m:r>
            </m:sub>
          </m:sSub>
          <m:r>
            <w:rPr>
              <w:rFonts w:ascii="Cambria Math" w:hAnsi="Cambria Math"/>
              <w:sz w:val="23"/>
            </w:rPr>
            <m:t>=S+</m:t>
          </m:r>
          <m:f>
            <m:fPr>
              <m:ctrlPr>
                <w:rPr>
                  <w:rFonts w:ascii="Cambria Math" w:hAnsi="Cambria Math"/>
                  <w:i/>
                  <w:sz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3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3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</w:rPr>
                <m:t>C</m:t>
              </m:r>
            </m:e>
            <m:sub>
              <m:r>
                <w:rPr>
                  <w:rFonts w:ascii="Cambria Math" w:hAnsi="Cambria Math"/>
                  <w:sz w:val="23"/>
                </w:rPr>
                <m:t>P</m:t>
              </m:r>
            </m:sub>
          </m:sSub>
          <m:r>
            <w:rPr>
              <w:rFonts w:ascii="Cambria Math" w:hAnsi="Cambria Math"/>
              <w:sz w:val="23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3"/>
                </w:rPr>
              </m:ctrlPr>
            </m:fPr>
            <m:num>
              <m:r>
                <w:rPr>
                  <w:rFonts w:ascii="Cambria Math" w:hAnsi="Cambria Math"/>
                  <w:sz w:val="23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3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3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3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3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3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</w:rPr>
                <m:t>M</m:t>
              </m:r>
            </m:e>
            <m:sub>
              <m:r>
                <w:rPr>
                  <w:rFonts w:ascii="Cambria Math" w:hAnsi="Cambria Math"/>
                  <w:sz w:val="23"/>
                </w:rPr>
                <m:t>A</m:t>
              </m:r>
            </m:sub>
          </m:sSub>
        </m:oMath>
      </m:oMathPara>
    </w:p>
    <w:p w14:paraId="1644B972" w14:textId="77777777" w:rsidR="00FB491E" w:rsidRDefault="00FB491E" w:rsidP="001665C7">
      <w:pPr>
        <w:pStyle w:val="Corpotesto"/>
        <w:spacing w:before="10"/>
        <w:jc w:val="both"/>
        <w:rPr>
          <w:sz w:val="23"/>
        </w:rPr>
      </w:pPr>
    </w:p>
    <w:p w14:paraId="6EFB0EAC" w14:textId="175FEBF2" w:rsidR="002C41B2" w:rsidRDefault="002C41B2" w:rsidP="001665C7">
      <w:pPr>
        <w:pStyle w:val="Corpotesto"/>
        <w:spacing w:before="10"/>
        <w:jc w:val="both"/>
        <w:rPr>
          <w:sz w:val="23"/>
        </w:rPr>
      </w:pPr>
      <w:r>
        <w:rPr>
          <w:sz w:val="23"/>
        </w:rPr>
        <w:t xml:space="preserve">La </w:t>
      </w:r>
      <w:r w:rsidRPr="002C41B2">
        <w:rPr>
          <w:b/>
          <w:sz w:val="23"/>
        </w:rPr>
        <w:t>tariffa profit</w:t>
      </w:r>
      <w:r w:rsidR="00F835C2">
        <w:rPr>
          <w:b/>
          <w:sz w:val="23"/>
        </w:rPr>
        <w:t xml:space="preserve"> </w:t>
      </w:r>
      <w:r w:rsidR="00F835C2" w:rsidRPr="00F835C2">
        <w:rPr>
          <w:sz w:val="23"/>
        </w:rPr>
        <w:t>nel 2019</w:t>
      </w:r>
      <w:r>
        <w:rPr>
          <w:sz w:val="23"/>
        </w:rPr>
        <w:t xml:space="preserve">, invece, è stata calcolata confrontando i valori dei costi unitari delle tariffe no profit </w:t>
      </w:r>
      <w:r w:rsidRPr="002C41B2">
        <w:rPr>
          <w:sz w:val="23"/>
        </w:rPr>
        <w:t xml:space="preserve">con le tariffe applicate da altri atenei e in particolare da centri con funzioni analoghe a quelle del CPT. </w:t>
      </w:r>
      <w:r w:rsidR="001665C7" w:rsidRPr="002C41B2">
        <w:rPr>
          <w:sz w:val="23"/>
        </w:rPr>
        <w:t xml:space="preserve"> </w:t>
      </w:r>
      <w:r w:rsidR="001665C7" w:rsidRPr="002C41B2">
        <w:rPr>
          <w:sz w:val="23"/>
        </w:rPr>
        <w:lastRenderedPageBreak/>
        <w:t xml:space="preserve">In generale, questo confronto ha consentito di fissare tariffe competitive a livello nazionale, senza rinunciare </w:t>
      </w:r>
      <w:r w:rsidR="005F16E9">
        <w:rPr>
          <w:sz w:val="23"/>
        </w:rPr>
        <w:t>alla copertura del costo medio; generalmente la tariffa profit è stata calcolata considerando un incremento del 50 % dell</w:t>
      </w:r>
      <w:r w:rsidR="00B25F0A">
        <w:rPr>
          <w:sz w:val="23"/>
        </w:rPr>
        <w:t>a</w:t>
      </w:r>
      <w:r w:rsidR="005F16E9">
        <w:rPr>
          <w:sz w:val="23"/>
        </w:rPr>
        <w:t xml:space="preserve"> tariffa no profit.</w:t>
      </w:r>
    </w:p>
    <w:p w14:paraId="286E39C0" w14:textId="4D182DD0" w:rsidR="002C41B2" w:rsidRDefault="002C41B2" w:rsidP="001665C7">
      <w:pPr>
        <w:pStyle w:val="Corpotesto"/>
        <w:spacing w:before="10"/>
        <w:jc w:val="both"/>
        <w:rPr>
          <w:sz w:val="23"/>
          <w:highlight w:val="green"/>
        </w:rPr>
      </w:pPr>
    </w:p>
    <w:p w14:paraId="6746B349" w14:textId="37F9AF36" w:rsidR="00DA139F" w:rsidRDefault="00BB077C" w:rsidP="001665C7">
      <w:pPr>
        <w:pStyle w:val="Corpotesto"/>
        <w:spacing w:before="10"/>
        <w:jc w:val="both"/>
        <w:rPr>
          <w:sz w:val="23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</w:rPr>
                <m:t>P</m:t>
              </m:r>
            </m:sub>
          </m:sSub>
          <m:r>
            <w:rPr>
              <w:rFonts w:ascii="Cambria Math" w:hAnsi="Cambria Math"/>
              <w:sz w:val="23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</w:rPr>
                <m:t>NP</m:t>
              </m:r>
            </m:sub>
          </m:sSub>
          <m:r>
            <w:rPr>
              <w:rFonts w:ascii="Cambria Math" w:hAnsi="Cambria Math"/>
              <w:sz w:val="23"/>
            </w:rPr>
            <m:t>∙1,5</m:t>
          </m:r>
        </m:oMath>
      </m:oMathPara>
    </w:p>
    <w:p w14:paraId="21D97826" w14:textId="77777777" w:rsidR="001D102A" w:rsidRDefault="001D102A">
      <w:pPr>
        <w:pStyle w:val="Corpotesto"/>
        <w:rPr>
          <w:rFonts w:ascii="Calibri"/>
          <w:b/>
          <w:sz w:val="22"/>
        </w:rPr>
      </w:pPr>
    </w:p>
    <w:p w14:paraId="44603DD5" w14:textId="3977EE23" w:rsidR="00F835C2" w:rsidRPr="003D2DFF" w:rsidRDefault="00F835C2" w:rsidP="00F835C2">
      <w:pPr>
        <w:pStyle w:val="Corpotesto"/>
        <w:spacing w:before="10"/>
        <w:jc w:val="both"/>
        <w:rPr>
          <w:color w:val="FF0000"/>
          <w:sz w:val="23"/>
        </w:rPr>
      </w:pPr>
      <w:r w:rsidRPr="003D2DFF">
        <w:rPr>
          <w:color w:val="FF0000"/>
        </w:rPr>
        <w:t>TARIFFARIO 2020 PER</w:t>
      </w:r>
      <w:r>
        <w:rPr>
          <w:color w:val="FF0000"/>
        </w:rPr>
        <w:t xml:space="preserve"> ESTERNI PROFIT E NO PROFIT</w:t>
      </w:r>
      <w:r w:rsidRPr="003D2DFF">
        <w:rPr>
          <w:color w:val="FF0000"/>
          <w:sz w:val="23"/>
        </w:rPr>
        <w:t xml:space="preserve"> </w:t>
      </w:r>
    </w:p>
    <w:p w14:paraId="5EDFE8B8" w14:textId="77777777" w:rsidR="00587370" w:rsidRPr="00587370" w:rsidRDefault="00587370" w:rsidP="00587370"/>
    <w:p w14:paraId="5FD90DE1" w14:textId="77777777" w:rsidR="00587370" w:rsidRPr="00587370" w:rsidRDefault="00587370" w:rsidP="00587370"/>
    <w:p w14:paraId="192A4F56" w14:textId="0E1D667B" w:rsidR="00587370" w:rsidRPr="00DE2C5F" w:rsidRDefault="00F835C2" w:rsidP="00D83DB9">
      <w:pPr>
        <w:jc w:val="both"/>
      </w:pPr>
      <w:r>
        <w:t xml:space="preserve">La revisione del tariffario </w:t>
      </w:r>
      <w:r w:rsidR="00D83DB9">
        <w:t>nel</w:t>
      </w:r>
      <w:r>
        <w:t xml:space="preserve"> 2020 ha tenuto conto che nel caso di utenti esterni</w:t>
      </w:r>
      <w:r w:rsidR="00D83DB9">
        <w:t xml:space="preserve"> le ore di utilizzo siano condizionate alla presenza del personale tecnico referente di ciascuna Piattaforma. Quindi non saranno ammissibili le condizioni</w:t>
      </w:r>
      <w:r w:rsidR="00DF5BD6">
        <w:t xml:space="preserve"> </w:t>
      </w:r>
      <w:r w:rsidR="00D83DB9">
        <w:t>A) e B)</w:t>
      </w:r>
      <w:r w:rsidR="00FE2BF7">
        <w:t xml:space="preserve"> viste nei tariffari per Interni </w:t>
      </w:r>
      <w:r w:rsidR="00D83DB9">
        <w:t>, ma solo la condizione C</w:t>
      </w:r>
      <w:r w:rsidR="00D83DB9" w:rsidRPr="00DE2C5F">
        <w:t>)</w:t>
      </w:r>
      <w:r w:rsidR="00344B4F" w:rsidRPr="00DE2C5F">
        <w:t xml:space="preserve"> (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PE</m:t>
            </m:r>
          </m:sub>
        </m:sSub>
        <m:r>
          <w:rPr>
            <w:rFonts w:ascii="Cambria Math" w:hAnsi="Cambria Math"/>
          </w:rPr>
          <m:t>)</m:t>
        </m:r>
      </m:oMath>
    </w:p>
    <w:p w14:paraId="4B31AD74" w14:textId="5A8FFF73" w:rsidR="00D83DB9" w:rsidRDefault="00D83DB9" w:rsidP="00D83DB9">
      <w:pPr>
        <w:pStyle w:val="Corpotesto"/>
        <w:spacing w:before="10"/>
        <w:jc w:val="both"/>
        <w:rPr>
          <w:sz w:val="23"/>
        </w:rPr>
      </w:pPr>
      <w:r w:rsidRPr="001665C7">
        <w:rPr>
          <w:sz w:val="23"/>
        </w:rPr>
        <w:t>C) strumentazione che necessita di supervisione: 2000 ore/anno</w:t>
      </w:r>
      <w:r>
        <w:rPr>
          <w:sz w:val="23"/>
        </w:rPr>
        <w:t>.</w:t>
      </w:r>
      <w:r w:rsidRPr="001665C7">
        <w:rPr>
          <w:sz w:val="23"/>
        </w:rPr>
        <w:t xml:space="preserve"> </w:t>
      </w:r>
    </w:p>
    <w:p w14:paraId="6147D72F" w14:textId="77777777" w:rsidR="00F07432" w:rsidRDefault="00F07432" w:rsidP="00D83DB9">
      <w:pPr>
        <w:pStyle w:val="Corpotesto"/>
        <w:spacing w:before="10"/>
        <w:jc w:val="both"/>
        <w:rPr>
          <w:sz w:val="23"/>
        </w:rPr>
      </w:pPr>
    </w:p>
    <w:p w14:paraId="42604D39" w14:textId="5129B955" w:rsidR="00F07432" w:rsidRPr="00DE2C5F" w:rsidRDefault="00F07432" w:rsidP="00F07432">
      <w:pPr>
        <w:jc w:val="both"/>
      </w:pPr>
      <w:r w:rsidRPr="00DE2C5F">
        <w:t>Nel caso di offerte per prestazioni ad esterni, il Consiglio Direttivo ha ritenuto inoltre idoneo aggiungere, come viene fatto dai Dipartimenti, al totale complessivo delle prestazioni le somme per contribuire:</w:t>
      </w:r>
    </w:p>
    <w:p w14:paraId="037F6378" w14:textId="77777777" w:rsidR="00F07432" w:rsidRPr="00DE2C5F" w:rsidRDefault="00F07432" w:rsidP="00F07432">
      <w:pPr>
        <w:jc w:val="both"/>
      </w:pPr>
    </w:p>
    <w:p w14:paraId="4917AB50" w14:textId="77777777" w:rsidR="00F07432" w:rsidRPr="00DE2C5F" w:rsidRDefault="00F07432" w:rsidP="00F07432">
      <w:pPr>
        <w:pStyle w:val="Paragrafoelenco"/>
        <w:numPr>
          <w:ilvl w:val="0"/>
          <w:numId w:val="6"/>
        </w:numPr>
      </w:pPr>
      <w:r w:rsidRPr="00DE2C5F">
        <w:t>al Fondo premiale di Ateneo (8 % del totale complessivo della prestazione)</w:t>
      </w:r>
    </w:p>
    <w:p w14:paraId="2C140929" w14:textId="1516C683" w:rsidR="00F07432" w:rsidRPr="00DE2C5F" w:rsidRDefault="00F07432" w:rsidP="00F07432">
      <w:pPr>
        <w:pStyle w:val="Paragrafoelenco"/>
        <w:numPr>
          <w:ilvl w:val="0"/>
          <w:numId w:val="6"/>
        </w:numPr>
      </w:pPr>
      <w:r w:rsidRPr="00DE2C5F">
        <w:t>al Fondo Finalità di Dipartimento/Centro (2.5 % del totale complessivo della prestazione)</w:t>
      </w:r>
    </w:p>
    <w:p w14:paraId="25CA3CEC" w14:textId="77777777" w:rsidR="00F07432" w:rsidRPr="00DE2C5F" w:rsidRDefault="00F07432" w:rsidP="00F07432">
      <w:pPr>
        <w:pStyle w:val="Paragrafoelenco"/>
        <w:ind w:left="720" w:firstLine="0"/>
      </w:pPr>
    </w:p>
    <w:p w14:paraId="17E758D9" w14:textId="34C6ACFE" w:rsidR="00344B4F" w:rsidRDefault="00344B4F" w:rsidP="00344B4F">
      <w:pPr>
        <w:pStyle w:val="Corpotesto"/>
        <w:spacing w:before="10"/>
        <w:jc w:val="both"/>
        <w:rPr>
          <w:sz w:val="23"/>
        </w:rPr>
      </w:pPr>
      <w:r w:rsidRPr="00DE2C5F">
        <w:rPr>
          <w:sz w:val="23"/>
        </w:rPr>
        <w:t xml:space="preserve">il Consiglio Direttivo nella seduta del 25/6/2020 ha </w:t>
      </w:r>
      <w:r w:rsidR="00F07432" w:rsidRPr="00DE2C5F">
        <w:rPr>
          <w:sz w:val="23"/>
        </w:rPr>
        <w:t xml:space="preserve">dunque </w:t>
      </w:r>
      <w:r w:rsidRPr="00DE2C5F">
        <w:rPr>
          <w:sz w:val="23"/>
        </w:rPr>
        <w:t>deliberato il nuovo tariffario 2020, ritenendo opportuno revisionare il calcolo del costo unitario alla base delle tariffe per gli utenti esterni, tenendo conto di:</w:t>
      </w:r>
    </w:p>
    <w:p w14:paraId="21483BA0" w14:textId="247E954A" w:rsidR="00344B4F" w:rsidRDefault="00344B4F" w:rsidP="00344B4F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𝑂</w:t>
      </w:r>
      <w:r w:rsidRPr="00572506">
        <w:rPr>
          <w:rFonts w:ascii="Cambria Math" w:hAnsi="Cambria Math" w:cs="Cambria Math"/>
          <w:sz w:val="23"/>
          <w:vertAlign w:val="subscript"/>
        </w:rPr>
        <w:t>𝑃</w:t>
      </w:r>
      <w:r>
        <w:rPr>
          <w:rFonts w:ascii="Cambria Math" w:hAnsi="Cambria Math" w:cs="Cambria Math"/>
          <w:sz w:val="23"/>
          <w:vertAlign w:val="subscript"/>
        </w:rPr>
        <w:t>E</w:t>
      </w:r>
      <w:r w:rsidRPr="00572506">
        <w:rPr>
          <w:sz w:val="23"/>
        </w:rPr>
        <w:t xml:space="preserve"> = Ore potenziali di utilizzo specifiche per </w:t>
      </w:r>
      <w:r>
        <w:rPr>
          <w:sz w:val="23"/>
        </w:rPr>
        <w:t>esterni</w:t>
      </w:r>
    </w:p>
    <w:p w14:paraId="64A64364" w14:textId="77777777" w:rsidR="00344B4F" w:rsidRPr="00572506" w:rsidRDefault="00344B4F" w:rsidP="00344B4F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𝑆</w:t>
      </w:r>
      <w:r w:rsidRPr="00572506">
        <w:rPr>
          <w:sz w:val="23"/>
        </w:rPr>
        <w:t xml:space="preserve"> = Spese materiale di consumo  </w:t>
      </w:r>
    </w:p>
    <w:p w14:paraId="597433C2" w14:textId="24466226" w:rsidR="00344B4F" w:rsidRDefault="00344B4F" w:rsidP="00344B4F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𝐶</w:t>
      </w:r>
      <w:r w:rsidRPr="00572506">
        <w:rPr>
          <w:rFonts w:ascii="Cambria Math" w:hAnsi="Cambria Math" w:cs="Cambria Math"/>
          <w:sz w:val="23"/>
          <w:vertAlign w:val="subscript"/>
        </w:rPr>
        <w:t>𝑚</w:t>
      </w:r>
      <w:r w:rsidRPr="00572506">
        <w:rPr>
          <w:sz w:val="23"/>
        </w:rPr>
        <w:t>= Costi di manutenzione ordinaria</w:t>
      </w:r>
    </w:p>
    <w:p w14:paraId="3B300B32" w14:textId="79F253F4" w:rsidR="00F07432" w:rsidRPr="00572506" w:rsidRDefault="00BB077C" w:rsidP="00344B4F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m:oMath>
        <m:sSub>
          <m:sSubPr>
            <m:ctrlPr>
              <w:rPr>
                <w:rFonts w:ascii="Cambria Math" w:hAnsi="Cambria Math"/>
                <w:i/>
                <w:sz w:val="23"/>
              </w:rPr>
            </m:ctrlPr>
          </m:sSubPr>
          <m:e>
            <m:r>
              <w:rPr>
                <w:rFonts w:ascii="Cambria Math" w:hAnsi="Cambria Math"/>
                <w:sz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</w:rPr>
              <m:t>P</m:t>
            </m:r>
          </m:sub>
        </m:sSub>
        <m:r>
          <w:rPr>
            <w:rFonts w:ascii="Cambria Math" w:hAnsi="Cambria Math"/>
            <w:sz w:val="23"/>
          </w:rPr>
          <m:t>=</m:t>
        </m:r>
        <m:r>
          <m:rPr>
            <m:sty m:val="p"/>
          </m:rPr>
          <w:rPr>
            <w:rFonts w:ascii="Cambria Math" w:hAnsi="Cambria Math"/>
            <w:sz w:val="23"/>
          </w:rPr>
          <m:t>costo del personale</m:t>
        </m:r>
      </m:oMath>
    </w:p>
    <w:p w14:paraId="59F290E9" w14:textId="0363BB3F" w:rsidR="00344B4F" w:rsidRPr="00572506" w:rsidRDefault="00344B4F" w:rsidP="00344B4F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𝐴</w:t>
      </w:r>
      <w:r w:rsidRPr="00572506">
        <w:rPr>
          <w:sz w:val="23"/>
        </w:rPr>
        <w:t>= Ammortamento dello strumento (aliquota al 12,5% = 8 anni</w:t>
      </w:r>
      <w:r w:rsidR="00FE2BF7">
        <w:rPr>
          <w:sz w:val="23"/>
        </w:rPr>
        <w:t xml:space="preserve"> o 20% = 5 anni</w:t>
      </w:r>
      <w:r w:rsidRPr="00572506">
        <w:rPr>
          <w:sz w:val="23"/>
        </w:rPr>
        <w:t>)</w:t>
      </w:r>
    </w:p>
    <w:p w14:paraId="49AE2903" w14:textId="77777777" w:rsidR="00344B4F" w:rsidRPr="00572506" w:rsidRDefault="00344B4F" w:rsidP="00344B4F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𝐴</w:t>
      </w:r>
      <w:r w:rsidRPr="00572506">
        <w:rPr>
          <w:rFonts w:ascii="Cambria Math" w:hAnsi="Cambria Math" w:cs="Cambria Math"/>
          <w:sz w:val="23"/>
          <w:vertAlign w:val="subscript"/>
        </w:rPr>
        <w:t>𝐶</w:t>
      </w:r>
      <w:r w:rsidRPr="00572506">
        <w:rPr>
          <w:sz w:val="23"/>
        </w:rPr>
        <w:t>= Ammortamento strumentazione a corredo (aliquota variabile per tipo di strumentazione)</w:t>
      </w:r>
    </w:p>
    <w:p w14:paraId="39684749" w14:textId="77777777" w:rsidR="00344B4F" w:rsidRDefault="00344B4F" w:rsidP="00344B4F">
      <w:pPr>
        <w:pStyle w:val="Corpotesto"/>
        <w:numPr>
          <w:ilvl w:val="0"/>
          <w:numId w:val="3"/>
        </w:numPr>
        <w:spacing w:before="10"/>
        <w:jc w:val="both"/>
        <w:rPr>
          <w:sz w:val="23"/>
        </w:rPr>
      </w:pPr>
      <w:r w:rsidRPr="00572506">
        <w:rPr>
          <w:rFonts w:ascii="Cambria Math" w:hAnsi="Cambria Math" w:cs="Cambria Math"/>
          <w:sz w:val="23"/>
        </w:rPr>
        <w:t>𝑀</w:t>
      </w:r>
      <w:r w:rsidRPr="00572506">
        <w:rPr>
          <w:rFonts w:ascii="Cambria Math" w:hAnsi="Cambria Math" w:cs="Cambria Math"/>
          <w:sz w:val="23"/>
          <w:vertAlign w:val="subscript"/>
        </w:rPr>
        <w:t>𝐴</w:t>
      </w:r>
      <w:r w:rsidRPr="00572506">
        <w:rPr>
          <w:sz w:val="23"/>
        </w:rPr>
        <w:t>= Costo di manutenzione ordinaria della strumentazione a corredo</w:t>
      </w:r>
    </w:p>
    <w:p w14:paraId="1573D35E" w14:textId="46391BAB" w:rsidR="00344B4F" w:rsidRDefault="00344B4F" w:rsidP="00D83DB9">
      <w:pPr>
        <w:pStyle w:val="Corpotesto"/>
        <w:spacing w:before="10"/>
        <w:jc w:val="both"/>
        <w:rPr>
          <w:sz w:val="23"/>
        </w:rPr>
      </w:pPr>
    </w:p>
    <w:p w14:paraId="295F4ACB" w14:textId="77777777" w:rsidR="00344B4F" w:rsidRDefault="00344B4F" w:rsidP="00D83DB9">
      <w:pPr>
        <w:pStyle w:val="Corpotesto"/>
        <w:spacing w:before="10"/>
        <w:jc w:val="both"/>
        <w:rPr>
          <w:sz w:val="23"/>
        </w:rPr>
      </w:pPr>
    </w:p>
    <w:p w14:paraId="6AD99C82" w14:textId="77777777" w:rsidR="00344B4F" w:rsidRPr="00F07432" w:rsidRDefault="00BB077C" w:rsidP="00344B4F">
      <w:pPr>
        <w:jc w:val="center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NP new </m:t>
            </m:r>
          </m:sub>
        </m:sSub>
        <m:r>
          <w:rPr>
            <w:rFonts w:ascii="Cambria Math" w:hAnsi="Cambria Math"/>
            <w:color w:val="FF0000"/>
          </w:rPr>
          <m:t>=</m:t>
        </m:r>
        <m:d>
          <m:dPr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S+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m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PE</m:t>
                    </m:r>
                  </m:sub>
                </m:sSub>
              </m:den>
            </m:f>
            <m:r>
              <w:rPr>
                <w:rFonts w:ascii="Cambria Math" w:hAnsi="Cambria Math"/>
                <w:color w:val="FF000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P</m:t>
                </m:r>
              </m:sub>
            </m:sSub>
            <m:r>
              <w:rPr>
                <w:rFonts w:ascii="Cambria Math" w:hAnsi="Cambria Math"/>
                <w:color w:val="FF000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A+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PE</m:t>
                    </m:r>
                  </m:sub>
                </m:sSub>
              </m:den>
            </m:f>
          </m:e>
        </m:d>
        <m:r>
          <w:rPr>
            <w:rFonts w:ascii="Cambria Math" w:hAnsi="Cambria Math"/>
            <w:color w:val="FF0000"/>
          </w:rPr>
          <m:t>+</m:t>
        </m:r>
      </m:oMath>
      <w:r w:rsidR="00344B4F" w:rsidRPr="00F07432">
        <w:rPr>
          <w:i/>
          <w:iCs/>
          <w:color w:val="FF0000"/>
        </w:rPr>
        <w:t xml:space="preserve"> Fondo</w:t>
      </w:r>
    </w:p>
    <w:p w14:paraId="65C55CCF" w14:textId="77777777" w:rsidR="00D83DB9" w:rsidRPr="00F07432" w:rsidRDefault="00D83DB9" w:rsidP="00587370">
      <w:pPr>
        <w:rPr>
          <w:color w:val="FF0000"/>
        </w:rPr>
      </w:pPr>
    </w:p>
    <w:p w14:paraId="3400A430" w14:textId="60F1D825" w:rsidR="00FD4C16" w:rsidRDefault="00FD4C16" w:rsidP="00FD4C16"/>
    <w:p w14:paraId="24BFACD6" w14:textId="376E4431" w:rsidR="00FD4C16" w:rsidRPr="00FD4C16" w:rsidRDefault="00FD4C16" w:rsidP="00F07432">
      <w:pPr>
        <w:jc w:val="center"/>
      </w:pPr>
      <w:r>
        <w:t xml:space="preserve">dove </w:t>
      </w:r>
      <m:oMath>
        <m:r>
          <w:rPr>
            <w:rFonts w:ascii="Cambria Math" w:hAnsi="Cambria Math"/>
          </w:rPr>
          <m:t>Fondo=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S+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</m:oMath>
    </w:p>
    <w:p w14:paraId="0F64B170" w14:textId="77777777" w:rsidR="00F07432" w:rsidRPr="00F07432" w:rsidRDefault="00F07432" w:rsidP="00F07432">
      <w:pPr>
        <w:pStyle w:val="Corpotesto"/>
        <w:spacing w:before="10"/>
        <w:jc w:val="both"/>
        <w:rPr>
          <w:sz w:val="23"/>
        </w:rPr>
      </w:pPr>
    </w:p>
    <w:p w14:paraId="53E3FFC9" w14:textId="77777777" w:rsidR="00F07432" w:rsidRPr="00F07432" w:rsidRDefault="00F07432" w:rsidP="00F07432">
      <w:pPr>
        <w:pStyle w:val="Corpotesto"/>
        <w:spacing w:before="10"/>
        <w:jc w:val="both"/>
        <w:rPr>
          <w:sz w:val="23"/>
        </w:rPr>
      </w:pPr>
    </w:p>
    <w:p w14:paraId="14353D26" w14:textId="24F7DCF2" w:rsidR="00F07432" w:rsidRPr="00F07432" w:rsidRDefault="00BB077C" w:rsidP="00F07432">
      <w:pPr>
        <w:pStyle w:val="Corpotesto"/>
        <w:spacing w:before="10"/>
        <w:jc w:val="both"/>
        <w:rPr>
          <w:color w:val="FF0000"/>
          <w:sz w:val="23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3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3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  <w:sz w:val="23"/>
                </w:rPr>
                <m:t>P</m:t>
              </m:r>
            </m:sub>
          </m:sSub>
          <m:r>
            <w:rPr>
              <w:rFonts w:ascii="Cambria Math" w:hAnsi="Cambria Math"/>
              <w:color w:val="FF0000"/>
              <w:sz w:val="23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3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3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  <w:sz w:val="23"/>
                </w:rPr>
                <m:t>NP</m:t>
              </m:r>
            </m:sub>
          </m:sSub>
          <m:r>
            <w:rPr>
              <w:rFonts w:ascii="Cambria Math" w:hAnsi="Cambria Math"/>
              <w:color w:val="FF0000"/>
              <w:sz w:val="23"/>
            </w:rPr>
            <m:t>∙1,5</m:t>
          </m:r>
        </m:oMath>
      </m:oMathPara>
    </w:p>
    <w:p w14:paraId="646273BF" w14:textId="1C3AEB0A" w:rsidR="00FD4C16" w:rsidRDefault="00FD4C16" w:rsidP="00FD4C16"/>
    <w:p w14:paraId="1B578CF1" w14:textId="12C9D690" w:rsidR="00FD4C16" w:rsidRDefault="00FD4C16" w:rsidP="00FD4C16">
      <w:r w:rsidRPr="00F07432">
        <w:rPr>
          <w:color w:val="000000" w:themeColor="text1"/>
        </w:rPr>
        <w:t>x = 8% (Fondo premiale di Ateneo)</w:t>
      </w:r>
      <w:r w:rsidR="00AF6893" w:rsidRPr="00F07432">
        <w:rPr>
          <w:color w:val="000000" w:themeColor="text1"/>
        </w:rPr>
        <w:t xml:space="preserve"> </w:t>
      </w:r>
      <w:r w:rsidRPr="00F07432">
        <w:rPr>
          <w:color w:val="000000" w:themeColor="text1"/>
        </w:rPr>
        <w:t>+</w:t>
      </w:r>
      <w:r w:rsidR="00F07432" w:rsidRPr="00F07432">
        <w:rPr>
          <w:color w:val="000000" w:themeColor="text1"/>
        </w:rPr>
        <w:t>2.5</w:t>
      </w:r>
      <w:r w:rsidRPr="00F07432">
        <w:rPr>
          <w:color w:val="000000" w:themeColor="text1"/>
        </w:rPr>
        <w:t xml:space="preserve">%(Fondo Finalità </w:t>
      </w:r>
      <w:r>
        <w:t>di Dipartimento/Centro)</w:t>
      </w:r>
      <w:r w:rsidR="00FF30E3">
        <w:t>.</w:t>
      </w:r>
    </w:p>
    <w:p w14:paraId="77C4E328" w14:textId="2F660B01" w:rsidR="00FF30E3" w:rsidRPr="00587370" w:rsidRDefault="00FF30E3" w:rsidP="00FD4C16">
      <w:r>
        <w:t>I nuovi tariffari entrano in vigore il 1/8/2020.</w:t>
      </w:r>
    </w:p>
    <w:sectPr w:rsidR="00FF30E3" w:rsidRPr="00587370" w:rsidSect="00E342A2">
      <w:footerReference w:type="default" r:id="rId9"/>
      <w:pgSz w:w="11900" w:h="16850"/>
      <w:pgMar w:top="720" w:right="720" w:bottom="720" w:left="720" w:header="964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C88AD" w14:textId="77777777" w:rsidR="00BB077C" w:rsidRDefault="00BB077C">
      <w:r>
        <w:separator/>
      </w:r>
    </w:p>
  </w:endnote>
  <w:endnote w:type="continuationSeparator" w:id="0">
    <w:p w14:paraId="13B1C8A6" w14:textId="77777777" w:rsidR="00BB077C" w:rsidRDefault="00B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4BE9" w14:textId="77777777" w:rsidR="00587370" w:rsidRDefault="00587370">
    <w:pPr>
      <w:pStyle w:val="Corpotesto"/>
      <w:spacing w:line="14" w:lineRule="auto"/>
      <w:rPr>
        <w:noProof/>
        <w:lang w:bidi="ar-SA"/>
      </w:rPr>
    </w:pPr>
  </w:p>
  <w:p w14:paraId="4F4DEB82" w14:textId="4C9BE41F" w:rsidR="001D102A" w:rsidRDefault="00A46E6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9704" behindDoc="1" locked="0" layoutInCell="1" allowOverlap="1" wp14:anchorId="7A4E5C46" wp14:editId="71044A1B">
              <wp:simplePos x="0" y="0"/>
              <wp:positionH relativeFrom="margin">
                <wp:align>right</wp:align>
              </wp:positionH>
              <wp:positionV relativeFrom="page">
                <wp:posOffset>9901555</wp:posOffset>
              </wp:positionV>
              <wp:extent cx="6105525" cy="123825"/>
              <wp:effectExtent l="0" t="0" r="285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5525" cy="123825"/>
                        <a:chOff x="1134" y="15173"/>
                        <a:chExt cx="9615" cy="195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34" y="15172"/>
                          <a:ext cx="9615" cy="19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134" y="15264"/>
                          <a:ext cx="9614" cy="0"/>
                        </a:xfrm>
                        <a:prstGeom prst="line">
                          <a:avLst/>
                        </a:prstGeom>
                        <a:noFill/>
                        <a:ln w="52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4484063" id="Group 2" o:spid="_x0000_s1026" style="position:absolute;margin-left:429.55pt;margin-top:779.65pt;width:480.75pt;height:9.75pt;z-index:-26776;mso-position-horizontal:right;mso-position-horizontal-relative:margin;mso-position-vertical-relative:page" coordorigin="1134,15173" coordsize="961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">
              <v:rect id="Rectangle 4" o:spid="_x0000_s1027" style="position:absolute;left:1134;top:15172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" fillcolor="#fdfdfd" stroked="f"/>
              <v:line id="Line 3" o:spid="_x0000_s1028" style="position:absolute;visibility:visible;mso-wrap-style:square" from="1134,15264" to="10748,1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" strokeweight=".14456mm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73BF" w14:textId="77777777" w:rsidR="00BB077C" w:rsidRDefault="00BB077C">
      <w:r>
        <w:separator/>
      </w:r>
    </w:p>
  </w:footnote>
  <w:footnote w:type="continuationSeparator" w:id="0">
    <w:p w14:paraId="4B244554" w14:textId="77777777" w:rsidR="00BB077C" w:rsidRDefault="00BB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9E3"/>
    <w:multiLevelType w:val="hybridMultilevel"/>
    <w:tmpl w:val="770ECBD8"/>
    <w:lvl w:ilvl="0" w:tplc="5CF48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4E"/>
    <w:multiLevelType w:val="hybridMultilevel"/>
    <w:tmpl w:val="317E1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3503"/>
    <w:multiLevelType w:val="hybridMultilevel"/>
    <w:tmpl w:val="0764DEAC"/>
    <w:lvl w:ilvl="0" w:tplc="EB62C09A">
      <w:numFmt w:val="bullet"/>
      <w:lvlText w:val="-"/>
      <w:lvlJc w:val="left"/>
      <w:pPr>
        <w:ind w:left="132" w:hanging="853"/>
      </w:pPr>
      <w:rPr>
        <w:rFonts w:ascii="Cambria" w:eastAsia="Cambria" w:hAnsi="Cambria" w:cs="Cambria" w:hint="default"/>
        <w:spacing w:val="-13"/>
        <w:w w:val="100"/>
        <w:sz w:val="24"/>
        <w:szCs w:val="24"/>
        <w:lang w:val="it-IT" w:eastAsia="it-IT" w:bidi="it-IT"/>
      </w:rPr>
    </w:lvl>
    <w:lvl w:ilvl="1" w:tplc="73A051A0">
      <w:numFmt w:val="bullet"/>
      <w:lvlText w:val="•"/>
      <w:lvlJc w:val="left"/>
      <w:pPr>
        <w:ind w:left="1155" w:hanging="853"/>
      </w:pPr>
      <w:rPr>
        <w:rFonts w:hint="default"/>
        <w:lang w:val="it-IT" w:eastAsia="it-IT" w:bidi="it-IT"/>
      </w:rPr>
    </w:lvl>
    <w:lvl w:ilvl="2" w:tplc="C1F090E0">
      <w:numFmt w:val="bullet"/>
      <w:lvlText w:val="•"/>
      <w:lvlJc w:val="left"/>
      <w:pPr>
        <w:ind w:left="2171" w:hanging="853"/>
      </w:pPr>
      <w:rPr>
        <w:rFonts w:hint="default"/>
        <w:lang w:val="it-IT" w:eastAsia="it-IT" w:bidi="it-IT"/>
      </w:rPr>
    </w:lvl>
    <w:lvl w:ilvl="3" w:tplc="7CF6860C">
      <w:numFmt w:val="bullet"/>
      <w:lvlText w:val="•"/>
      <w:lvlJc w:val="left"/>
      <w:pPr>
        <w:ind w:left="3187" w:hanging="853"/>
      </w:pPr>
      <w:rPr>
        <w:rFonts w:hint="default"/>
        <w:lang w:val="it-IT" w:eastAsia="it-IT" w:bidi="it-IT"/>
      </w:rPr>
    </w:lvl>
    <w:lvl w:ilvl="4" w:tplc="06DA33CE">
      <w:numFmt w:val="bullet"/>
      <w:lvlText w:val="•"/>
      <w:lvlJc w:val="left"/>
      <w:pPr>
        <w:ind w:left="4203" w:hanging="853"/>
      </w:pPr>
      <w:rPr>
        <w:rFonts w:hint="default"/>
        <w:lang w:val="it-IT" w:eastAsia="it-IT" w:bidi="it-IT"/>
      </w:rPr>
    </w:lvl>
    <w:lvl w:ilvl="5" w:tplc="E78692B4">
      <w:numFmt w:val="bullet"/>
      <w:lvlText w:val="•"/>
      <w:lvlJc w:val="left"/>
      <w:pPr>
        <w:ind w:left="5219" w:hanging="853"/>
      </w:pPr>
      <w:rPr>
        <w:rFonts w:hint="default"/>
        <w:lang w:val="it-IT" w:eastAsia="it-IT" w:bidi="it-IT"/>
      </w:rPr>
    </w:lvl>
    <w:lvl w:ilvl="6" w:tplc="ADECE9F2">
      <w:numFmt w:val="bullet"/>
      <w:lvlText w:val="•"/>
      <w:lvlJc w:val="left"/>
      <w:pPr>
        <w:ind w:left="6235" w:hanging="853"/>
      </w:pPr>
      <w:rPr>
        <w:rFonts w:hint="default"/>
        <w:lang w:val="it-IT" w:eastAsia="it-IT" w:bidi="it-IT"/>
      </w:rPr>
    </w:lvl>
    <w:lvl w:ilvl="7" w:tplc="A858E5B4">
      <w:numFmt w:val="bullet"/>
      <w:lvlText w:val="•"/>
      <w:lvlJc w:val="left"/>
      <w:pPr>
        <w:ind w:left="7251" w:hanging="853"/>
      </w:pPr>
      <w:rPr>
        <w:rFonts w:hint="default"/>
        <w:lang w:val="it-IT" w:eastAsia="it-IT" w:bidi="it-IT"/>
      </w:rPr>
    </w:lvl>
    <w:lvl w:ilvl="8" w:tplc="DD3E3446">
      <w:numFmt w:val="bullet"/>
      <w:lvlText w:val="•"/>
      <w:lvlJc w:val="left"/>
      <w:pPr>
        <w:ind w:left="8267" w:hanging="853"/>
      </w:pPr>
      <w:rPr>
        <w:rFonts w:hint="default"/>
        <w:lang w:val="it-IT" w:eastAsia="it-IT" w:bidi="it-IT"/>
      </w:rPr>
    </w:lvl>
  </w:abstractNum>
  <w:abstractNum w:abstractNumId="3" w15:restartNumberingAfterBreak="0">
    <w:nsid w:val="6A532E59"/>
    <w:multiLevelType w:val="hybridMultilevel"/>
    <w:tmpl w:val="9F8C6EBA"/>
    <w:lvl w:ilvl="0" w:tplc="5CF48894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26223EB8">
      <w:numFmt w:val="bullet"/>
      <w:lvlText w:val="•"/>
      <w:lvlJc w:val="left"/>
      <w:pPr>
        <w:ind w:left="1803" w:hanging="360"/>
      </w:pPr>
      <w:rPr>
        <w:rFonts w:hint="default"/>
        <w:lang w:val="it-IT" w:eastAsia="it-IT" w:bidi="it-IT"/>
      </w:rPr>
    </w:lvl>
    <w:lvl w:ilvl="2" w:tplc="AA6464D6">
      <w:numFmt w:val="bullet"/>
      <w:lvlText w:val="•"/>
      <w:lvlJc w:val="left"/>
      <w:pPr>
        <w:ind w:left="2747" w:hanging="360"/>
      </w:pPr>
      <w:rPr>
        <w:rFonts w:hint="default"/>
        <w:lang w:val="it-IT" w:eastAsia="it-IT" w:bidi="it-IT"/>
      </w:rPr>
    </w:lvl>
    <w:lvl w:ilvl="3" w:tplc="C6BA48E8">
      <w:numFmt w:val="bullet"/>
      <w:lvlText w:val="•"/>
      <w:lvlJc w:val="left"/>
      <w:pPr>
        <w:ind w:left="3691" w:hanging="360"/>
      </w:pPr>
      <w:rPr>
        <w:rFonts w:hint="default"/>
        <w:lang w:val="it-IT" w:eastAsia="it-IT" w:bidi="it-IT"/>
      </w:rPr>
    </w:lvl>
    <w:lvl w:ilvl="4" w:tplc="743ED4A2">
      <w:numFmt w:val="bullet"/>
      <w:lvlText w:val="•"/>
      <w:lvlJc w:val="left"/>
      <w:pPr>
        <w:ind w:left="4635" w:hanging="360"/>
      </w:pPr>
      <w:rPr>
        <w:rFonts w:hint="default"/>
        <w:lang w:val="it-IT" w:eastAsia="it-IT" w:bidi="it-IT"/>
      </w:rPr>
    </w:lvl>
    <w:lvl w:ilvl="5" w:tplc="E4FAF3B8">
      <w:numFmt w:val="bullet"/>
      <w:lvlText w:val="•"/>
      <w:lvlJc w:val="left"/>
      <w:pPr>
        <w:ind w:left="5579" w:hanging="360"/>
      </w:pPr>
      <w:rPr>
        <w:rFonts w:hint="default"/>
        <w:lang w:val="it-IT" w:eastAsia="it-IT" w:bidi="it-IT"/>
      </w:rPr>
    </w:lvl>
    <w:lvl w:ilvl="6" w:tplc="8BA2568A">
      <w:numFmt w:val="bullet"/>
      <w:lvlText w:val="•"/>
      <w:lvlJc w:val="left"/>
      <w:pPr>
        <w:ind w:left="6523" w:hanging="360"/>
      </w:pPr>
      <w:rPr>
        <w:rFonts w:hint="default"/>
        <w:lang w:val="it-IT" w:eastAsia="it-IT" w:bidi="it-IT"/>
      </w:rPr>
    </w:lvl>
    <w:lvl w:ilvl="7" w:tplc="519A0DDC">
      <w:numFmt w:val="bullet"/>
      <w:lvlText w:val="•"/>
      <w:lvlJc w:val="left"/>
      <w:pPr>
        <w:ind w:left="7467" w:hanging="360"/>
      </w:pPr>
      <w:rPr>
        <w:rFonts w:hint="default"/>
        <w:lang w:val="it-IT" w:eastAsia="it-IT" w:bidi="it-IT"/>
      </w:rPr>
    </w:lvl>
    <w:lvl w:ilvl="8" w:tplc="ECCCF534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CAE19ED"/>
    <w:multiLevelType w:val="hybridMultilevel"/>
    <w:tmpl w:val="9BC42FEC"/>
    <w:lvl w:ilvl="0" w:tplc="F7BC9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AC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E9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C06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40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8E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6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A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28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3445"/>
    <w:multiLevelType w:val="hybridMultilevel"/>
    <w:tmpl w:val="CD246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A"/>
    <w:rsid w:val="0001673B"/>
    <w:rsid w:val="00022375"/>
    <w:rsid w:val="00035CE5"/>
    <w:rsid w:val="0004018F"/>
    <w:rsid w:val="000624F3"/>
    <w:rsid w:val="00062E1B"/>
    <w:rsid w:val="000A3F0D"/>
    <w:rsid w:val="000B59E6"/>
    <w:rsid w:val="000C202B"/>
    <w:rsid w:val="0010654B"/>
    <w:rsid w:val="001665C7"/>
    <w:rsid w:val="001B4622"/>
    <w:rsid w:val="001C4436"/>
    <w:rsid w:val="001D102A"/>
    <w:rsid w:val="00217A94"/>
    <w:rsid w:val="002300C4"/>
    <w:rsid w:val="00230929"/>
    <w:rsid w:val="00230AC2"/>
    <w:rsid w:val="00237B7D"/>
    <w:rsid w:val="00285994"/>
    <w:rsid w:val="002906BB"/>
    <w:rsid w:val="002C41B2"/>
    <w:rsid w:val="002C5310"/>
    <w:rsid w:val="00327EA8"/>
    <w:rsid w:val="00331F07"/>
    <w:rsid w:val="00344B4F"/>
    <w:rsid w:val="00364708"/>
    <w:rsid w:val="00364C7D"/>
    <w:rsid w:val="00373793"/>
    <w:rsid w:val="00383C35"/>
    <w:rsid w:val="003A5AC1"/>
    <w:rsid w:val="003D1699"/>
    <w:rsid w:val="003D2DFF"/>
    <w:rsid w:val="003E4930"/>
    <w:rsid w:val="00410C2E"/>
    <w:rsid w:val="00442FFF"/>
    <w:rsid w:val="0047139E"/>
    <w:rsid w:val="00493F4A"/>
    <w:rsid w:val="004A1435"/>
    <w:rsid w:val="004C2ACB"/>
    <w:rsid w:val="004D46B1"/>
    <w:rsid w:val="004D4714"/>
    <w:rsid w:val="004E2A69"/>
    <w:rsid w:val="004E37DA"/>
    <w:rsid w:val="005162E1"/>
    <w:rsid w:val="005534BE"/>
    <w:rsid w:val="005616F6"/>
    <w:rsid w:val="00572506"/>
    <w:rsid w:val="005860DB"/>
    <w:rsid w:val="00587370"/>
    <w:rsid w:val="00593A1B"/>
    <w:rsid w:val="005A4C7F"/>
    <w:rsid w:val="005E3792"/>
    <w:rsid w:val="005F16E9"/>
    <w:rsid w:val="005F6C61"/>
    <w:rsid w:val="00601095"/>
    <w:rsid w:val="006114D2"/>
    <w:rsid w:val="0061507E"/>
    <w:rsid w:val="006301AD"/>
    <w:rsid w:val="00652C3E"/>
    <w:rsid w:val="006A7478"/>
    <w:rsid w:val="006E7A58"/>
    <w:rsid w:val="00715FC2"/>
    <w:rsid w:val="00720D59"/>
    <w:rsid w:val="00740242"/>
    <w:rsid w:val="00757C3A"/>
    <w:rsid w:val="00782578"/>
    <w:rsid w:val="007850FF"/>
    <w:rsid w:val="007C01F2"/>
    <w:rsid w:val="007F5A26"/>
    <w:rsid w:val="00810150"/>
    <w:rsid w:val="00871AD2"/>
    <w:rsid w:val="00877C78"/>
    <w:rsid w:val="008A00A4"/>
    <w:rsid w:val="008F375E"/>
    <w:rsid w:val="00943CF2"/>
    <w:rsid w:val="00A248F3"/>
    <w:rsid w:val="00A264E0"/>
    <w:rsid w:val="00A439C6"/>
    <w:rsid w:val="00A46E69"/>
    <w:rsid w:val="00AF6893"/>
    <w:rsid w:val="00B20100"/>
    <w:rsid w:val="00B23538"/>
    <w:rsid w:val="00B25F0A"/>
    <w:rsid w:val="00B265A2"/>
    <w:rsid w:val="00B411E1"/>
    <w:rsid w:val="00B61E90"/>
    <w:rsid w:val="00B87135"/>
    <w:rsid w:val="00BB077C"/>
    <w:rsid w:val="00BE5CC6"/>
    <w:rsid w:val="00BF0A2A"/>
    <w:rsid w:val="00C076C3"/>
    <w:rsid w:val="00C524F8"/>
    <w:rsid w:val="00C55EAC"/>
    <w:rsid w:val="00C64ADF"/>
    <w:rsid w:val="00C7160A"/>
    <w:rsid w:val="00C734C3"/>
    <w:rsid w:val="00CA6AA6"/>
    <w:rsid w:val="00CB770D"/>
    <w:rsid w:val="00D07B87"/>
    <w:rsid w:val="00D10BFF"/>
    <w:rsid w:val="00D20590"/>
    <w:rsid w:val="00D2164F"/>
    <w:rsid w:val="00D4149F"/>
    <w:rsid w:val="00D70725"/>
    <w:rsid w:val="00D805C0"/>
    <w:rsid w:val="00D83DB9"/>
    <w:rsid w:val="00DA139F"/>
    <w:rsid w:val="00DC51E5"/>
    <w:rsid w:val="00DE2C5F"/>
    <w:rsid w:val="00DF5BD6"/>
    <w:rsid w:val="00E342A2"/>
    <w:rsid w:val="00E45FA5"/>
    <w:rsid w:val="00E55227"/>
    <w:rsid w:val="00E57BF2"/>
    <w:rsid w:val="00E670CD"/>
    <w:rsid w:val="00E918A5"/>
    <w:rsid w:val="00EE6F08"/>
    <w:rsid w:val="00F07432"/>
    <w:rsid w:val="00F40B60"/>
    <w:rsid w:val="00F82421"/>
    <w:rsid w:val="00F835C2"/>
    <w:rsid w:val="00F837AA"/>
    <w:rsid w:val="00FA1469"/>
    <w:rsid w:val="00FB0CB0"/>
    <w:rsid w:val="00FB491E"/>
    <w:rsid w:val="00FD4C16"/>
    <w:rsid w:val="00FE2BF7"/>
    <w:rsid w:val="00FE3D66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EB71"/>
  <w15:docId w15:val="{0307EF77-1519-4107-AF68-17E9D55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2"/>
      <w:ind w:left="20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right="5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A46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E69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46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E69"/>
    <w:rPr>
      <w:rFonts w:ascii="Cambria" w:eastAsia="Cambria" w:hAnsi="Cambria" w:cs="Cambr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46E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B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B60"/>
    <w:rPr>
      <w:rFonts w:ascii="Segoe UI" w:eastAsia="Cambria" w:hAnsi="Segoe UI" w:cs="Segoe UI"/>
      <w:sz w:val="18"/>
      <w:szCs w:val="18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401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1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18F"/>
    <w:rPr>
      <w:rFonts w:ascii="Cambria" w:eastAsia="Cambria" w:hAnsi="Cambria" w:cs="Cambri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1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18F"/>
    <w:rPr>
      <w:rFonts w:ascii="Cambria" w:eastAsia="Cambria" w:hAnsi="Cambria" w:cs="Cambria"/>
      <w:b/>
      <w:bCs/>
      <w:sz w:val="20"/>
      <w:szCs w:val="20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A264E0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FD4C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5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17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48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3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3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56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70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8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C57B-E11B-4912-8E3E-F6419F06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 Solfa</dc:creator>
  <cp:lastModifiedBy>Samantha</cp:lastModifiedBy>
  <cp:revision>2</cp:revision>
  <cp:lastPrinted>2020-07-14T12:06:00Z</cp:lastPrinted>
  <dcterms:created xsi:type="dcterms:W3CDTF">2020-07-20T09:15:00Z</dcterms:created>
  <dcterms:modified xsi:type="dcterms:W3CDTF">2020-07-20T09:15:00Z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